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安庆市人民代表大会常务委员会办公室</w:t>
      </w:r>
      <w:r>
        <w:rPr>
          <w:rFonts w:hint="eastAsia" w:ascii="华文中宋" w:hAnsi="华文中宋" w:eastAsia="华文中宋" w:cs="华文中宋"/>
          <w:b/>
          <w:sz w:val="44"/>
          <w:szCs w:val="44"/>
        </w:rPr>
        <w:t>2021年部门预算</w:t>
      </w:r>
    </w:p>
    <w:p>
      <w:pPr>
        <w:pStyle w:val="5"/>
        <w:adjustRightInd w:val="0"/>
        <w:snapToGrid w:val="0"/>
        <w:spacing w:before="0" w:beforeAutospacing="0" w:after="0" w:afterAutospacing="0" w:line="360" w:lineRule="auto"/>
        <w:jc w:val="both"/>
        <w:outlineLvl w:val="0"/>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ascii="黑体" w:hAnsi="黑体" w:eastAsia="黑体"/>
          <w:bCs/>
          <w:sz w:val="36"/>
          <w:szCs w:val="36"/>
        </w:rPr>
      </w:pPr>
    </w:p>
    <w:p>
      <w:pPr>
        <w:pStyle w:val="5"/>
        <w:adjustRightInd w:val="0"/>
        <w:snapToGrid w:val="0"/>
        <w:spacing w:before="0" w:beforeAutospacing="0" w:after="0" w:afterAutospacing="0" w:line="360" w:lineRule="auto"/>
        <w:jc w:val="center"/>
        <w:rPr>
          <w:rFonts w:hint="eastAsia" w:ascii="黑体" w:hAnsi="黑体" w:eastAsia="黑体"/>
          <w:bCs/>
          <w:sz w:val="44"/>
          <w:szCs w:val="44"/>
        </w:rPr>
      </w:pPr>
    </w:p>
    <w:p>
      <w:pPr>
        <w:pStyle w:val="5"/>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2021年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5"/>
        <w:adjustRightInd w:val="0"/>
        <w:snapToGrid w:val="0"/>
        <w:spacing w:before="0" w:beforeAutospacing="0" w:after="0" w:afterAutospacing="0" w:line="360" w:lineRule="auto"/>
        <w:jc w:val="both"/>
        <w:rPr>
          <w:rFonts w:ascii="黑体" w:hAnsi="黑体" w:eastAsia="黑体"/>
          <w:bCs/>
          <w:sz w:val="36"/>
          <w:szCs w:val="36"/>
        </w:rPr>
      </w:pPr>
    </w:p>
    <w:p>
      <w:pPr>
        <w:pStyle w:val="5"/>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5"/>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2.部门预算构成</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3.2021年度主要工作任务</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第二部分 2021年部门预算表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2021年收支总表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2021年收入总表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2021年支出总表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2021年财政拨款收支总表</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2021年一般公共预算支出表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2021年一般公共预算基本支出表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2021年政府性基金预算支出表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2021年国有资本经营预算支出表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9.</w:t>
      </w:r>
      <w:r>
        <w:rPr>
          <w:rFonts w:hint="eastAsia" w:ascii="仿宋_GB2312" w:hAnsi="仿宋" w:eastAsia="仿宋_GB2312" w:cs="仿宋"/>
          <w:bCs/>
          <w:color w:val="auto"/>
          <w:sz w:val="32"/>
          <w:szCs w:val="32"/>
          <w:lang w:eastAsia="zh-CN"/>
        </w:rPr>
        <w:t>安庆市人民代表大会常务委员会办公室</w:t>
      </w:r>
      <w:r>
        <w:rPr>
          <w:rFonts w:hint="eastAsia" w:ascii="仿宋_GB2312" w:hAnsi="仿宋" w:eastAsia="仿宋_GB2312" w:cs="仿宋"/>
          <w:bCs/>
          <w:color w:val="auto"/>
          <w:sz w:val="32"/>
          <w:szCs w:val="32"/>
        </w:rPr>
        <w:t>2021年项目支出表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2021年政府采购支出表</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cs="仿宋"/>
          <w:bCs/>
          <w:sz w:val="32"/>
          <w:szCs w:val="32"/>
        </w:rPr>
        <w:t>2021年政府购买服务支出表</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第三部分 2021年部门预算情况说明</w:t>
      </w:r>
    </w:p>
    <w:p>
      <w:pPr>
        <w:pStyle w:val="5"/>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1.关于2021年收支总表的说明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2.关于2021年收入总表的说明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3.关于2021年支出总表的说明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4.关于2021年财政拨款收支总表的说明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5.关于2021年一般公共预算支出表的说明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6.关于2021年一般公共预算基本支出表的说明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7.关于2021年政府性基金预算支出表的说明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8.关于2021年国有资本经营预算支出表的说明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9.关于2021年项目支出表的说明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10.关于2021年政府采购支出表的说明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11.关于2021年政府购买服务支出表的说明</w:t>
      </w:r>
    </w:p>
    <w:p>
      <w:pPr>
        <w:pStyle w:val="5"/>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5"/>
        <w:adjustRightInd w:val="0"/>
        <w:snapToGrid w:val="0"/>
        <w:spacing w:before="0" w:beforeAutospacing="0" w:after="0" w:afterAutospacing="0" w:line="500" w:lineRule="exact"/>
        <w:rPr>
          <w:rFonts w:ascii="仿宋_GB2312" w:hAnsi="仿宋" w:eastAsia="仿宋_GB2312" w:cs="仿宋"/>
          <w:b/>
          <w:sz w:val="32"/>
          <w:szCs w:val="32"/>
        </w:rPr>
      </w:pPr>
    </w:p>
    <w:p>
      <w:pPr>
        <w:pStyle w:val="5"/>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部门概况</w:t>
      </w:r>
    </w:p>
    <w:p>
      <w:pPr>
        <w:pStyle w:val="5"/>
        <w:adjustRightInd w:val="0"/>
        <w:snapToGrid w:val="0"/>
        <w:spacing w:before="0" w:beforeAutospacing="0" w:after="0" w:afterAutospacing="0" w:line="360" w:lineRule="auto"/>
        <w:ind w:firstLine="627" w:firstLineChars="196"/>
        <w:jc w:val="both"/>
        <w:rPr>
          <w:rFonts w:hint="eastAsia" w:ascii="黑体" w:hAnsi="黑体" w:eastAsia="黑体"/>
          <w:bCs/>
          <w:sz w:val="32"/>
          <w:szCs w:val="32"/>
        </w:rPr>
      </w:pPr>
      <w:r>
        <w:rPr>
          <w:rFonts w:hint="eastAsia" w:ascii="黑体" w:hAnsi="黑体" w:eastAsia="黑体"/>
          <w:bCs/>
          <w:sz w:val="32"/>
          <w:szCs w:val="32"/>
        </w:rPr>
        <w:t>一、主要职责</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rPr>
        <w:t>根据《关于印发〈安庆市人大机关主要职责、内设机构和人员编制方案〉的通知》（办〔2002〕46号）文件规定，市人大常委会办公室主要职责概括为：</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负责市人民代表大会会议、常委会会议、常委会主任会议和常委会会议的会务工作；负责机关的文电、档案、保密、文印和办公自动化工作</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根据市人大常委会主任会议的决定和安排，联络、协调机关各部门的工作；督办常委会领导交办的重要事项。</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起草市人大常委会的重要报告及常委会其他材料。</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处理人民来信、接待人民来访。</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收集、整理和交流人大工作信息，编印《安庆市人大工作信息》。</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组织对市人民代表大会会议、人大常务委员会会议和重要活动的宣传报到，编攥市人大常委会《会刊》。</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负责市人大常委会机关的人事管理、政治思想教育、目标管理考核、组织建设和离退休人员的服务管理工作。</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负责市人大常委会机关的安全保卫、行政事务、财务管理、车辆管理及后勤服务工作。</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负责市人大常委会机关日常公务接待工作。</w:t>
      </w:r>
    </w:p>
    <w:p>
      <w:pPr>
        <w:pStyle w:val="5"/>
        <w:adjustRightInd w:val="0"/>
        <w:snapToGrid w:val="0"/>
        <w:spacing w:before="0" w:beforeAutospacing="0" w:after="0" w:afterAutospacing="0" w:line="360" w:lineRule="auto"/>
        <w:ind w:firstLine="627" w:firstLineChars="196"/>
        <w:jc w:val="both"/>
        <w:rPr>
          <w:rFonts w:hint="eastAsia"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承担市人大常委会领导交办的其他工作。</w:t>
      </w:r>
    </w:p>
    <w:p>
      <w:pPr>
        <w:pStyle w:val="5"/>
        <w:numPr>
          <w:ilvl w:val="0"/>
          <w:numId w:val="0"/>
        </w:numPr>
        <w:adjustRightInd w:val="0"/>
        <w:snapToGrid w:val="0"/>
        <w:spacing w:before="0" w:beforeAutospacing="0" w:after="0" w:afterAutospacing="0" w:line="360" w:lineRule="auto"/>
        <w:ind w:firstLine="640" w:firstLineChars="200"/>
        <w:jc w:val="both"/>
        <w:rPr>
          <w:rFonts w:hint="eastAsia" w:ascii="黑体" w:hAnsi="黑体" w:eastAsia="黑体"/>
          <w:bCs/>
          <w:sz w:val="32"/>
          <w:szCs w:val="32"/>
        </w:rPr>
      </w:pPr>
      <w:r>
        <w:rPr>
          <w:rFonts w:hint="eastAsia" w:ascii="黑体" w:hAnsi="黑体" w:eastAsia="黑体"/>
          <w:bCs/>
          <w:sz w:val="32"/>
          <w:szCs w:val="32"/>
          <w:lang w:eastAsia="zh-CN"/>
        </w:rPr>
        <w:t>二、</w:t>
      </w:r>
      <w:r>
        <w:rPr>
          <w:rFonts w:hint="eastAsia" w:ascii="黑体" w:hAnsi="黑体" w:eastAsia="黑体"/>
          <w:bCs/>
          <w:sz w:val="32"/>
          <w:szCs w:val="32"/>
        </w:rPr>
        <w:t>部门预算构成</w:t>
      </w:r>
    </w:p>
    <w:p>
      <w:pPr>
        <w:pStyle w:val="5"/>
        <w:numPr>
          <w:ilvl w:val="0"/>
          <w:numId w:val="0"/>
        </w:numPr>
        <w:adjustRightInd w:val="0"/>
        <w:snapToGrid w:val="0"/>
        <w:spacing w:before="0" w:beforeAutospacing="0" w:after="0" w:afterAutospacing="0" w:line="360" w:lineRule="auto"/>
        <w:ind w:firstLine="640" w:firstLineChars="200"/>
        <w:jc w:val="both"/>
        <w:rPr>
          <w:rFonts w:ascii="楷体_GB2312" w:hAnsi="仿宋" w:eastAsia="楷体_GB2312" w:cs="Times New Roman"/>
          <w:color w:val="FF0000"/>
          <w:kern w:val="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lang w:eastAsia="zh-CN"/>
        </w:rPr>
        <w:t>安庆市人民代表大会常务委员会办公室</w:t>
      </w:r>
      <w:r>
        <w:rPr>
          <w:rFonts w:hint="eastAsia" w:ascii="仿宋_GB2312" w:hAnsi="仿宋" w:eastAsia="仿宋_GB2312"/>
          <w:sz w:val="32"/>
          <w:szCs w:val="32"/>
        </w:rPr>
        <w:t>2021年度部门预算仅包括</w:t>
      </w:r>
      <w:r>
        <w:rPr>
          <w:rFonts w:hint="eastAsia" w:ascii="仿宋_GB2312" w:hAnsi="仿宋" w:eastAsia="仿宋_GB2312"/>
          <w:sz w:val="32"/>
          <w:szCs w:val="32"/>
          <w:lang w:eastAsia="zh-CN"/>
        </w:rPr>
        <w:t>安庆市人民代表大会常务委员会办公室</w:t>
      </w:r>
      <w:r>
        <w:rPr>
          <w:rFonts w:hint="eastAsia" w:ascii="仿宋_GB2312" w:hAnsi="仿宋" w:eastAsia="仿宋_GB2312"/>
          <w:sz w:val="32"/>
          <w:szCs w:val="32"/>
        </w:rPr>
        <w:t>本级预算，无其他下属单位预算。</w:t>
      </w:r>
    </w:p>
    <w:p>
      <w:pPr>
        <w:pStyle w:val="5"/>
        <w:adjustRightInd w:val="0"/>
        <w:snapToGrid w:val="0"/>
        <w:spacing w:before="0" w:beforeAutospacing="0" w:after="0" w:afterAutospacing="0" w:line="360" w:lineRule="auto"/>
        <w:ind w:firstLine="640" w:firstLineChars="200"/>
        <w:rPr>
          <w:rFonts w:ascii="黑体" w:hAnsi="黑体" w:eastAsia="黑体"/>
          <w:bCs/>
          <w:sz w:val="32"/>
          <w:szCs w:val="32"/>
        </w:rPr>
      </w:pPr>
      <w:r>
        <w:rPr>
          <w:rFonts w:hint="eastAsia" w:ascii="黑体" w:hAnsi="黑体" w:eastAsia="黑体"/>
          <w:bCs/>
          <w:sz w:val="32"/>
          <w:szCs w:val="32"/>
        </w:rPr>
        <w:t>三、2021年度主要工作任务</w:t>
      </w:r>
    </w:p>
    <w:p>
      <w:pPr>
        <w:pStyle w:val="5"/>
        <w:adjustRightInd w:val="0"/>
        <w:snapToGrid w:val="0"/>
        <w:spacing w:before="0" w:beforeAutospacing="0" w:after="0" w:afterAutospacing="0" w:line="360" w:lineRule="auto"/>
        <w:ind w:firstLine="640" w:firstLineChars="200"/>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2021年是中国共产党成立100周年，是“十四五”开局之年，是新阶段现代化美好安庆建设起步之年。市人大常委会工作的总体要求是：坚持以习近平新时代中国特色社会主义思想为指导,全面贯彻党的十九大和十九届二中、三中、四中、五中全会精神，深入贯彻落实习近平总书记考察安徽重要讲话指示精神，认真落实市委十一届十二次、十三次全会精神，围绕“进百强、上台阶”的目标要求，科学把握新发展阶段、坚决贯彻新发展理念、服务构建新发展格局，全面履行宪法和法律赋予的职责，全力推进市委重大决策部署落实，助推“十四五”开好局、起好步，为新阶段现代化美好安庆建设贡献人大力量，以优异成绩庆祝中国共产党成立100周年。</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eastAsia="zh-CN"/>
        </w:rPr>
        <w:t>（一）</w:t>
      </w:r>
      <w:r>
        <w:rPr>
          <w:rFonts w:hint="eastAsia" w:ascii="仿宋_GB2312" w:hAnsi="黑体" w:eastAsia="仿宋_GB2312"/>
          <w:bCs/>
          <w:sz w:val="32"/>
          <w:szCs w:val="32"/>
          <w:lang w:val="en-US" w:eastAsia="zh-CN"/>
        </w:rPr>
        <w:t>坚定人大工作正确政治方向</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以习近平新时代中国特色社会主义思想统领人大工作，深入学习贯彻习近平法治思想、习近平总书记关于坚持和完善人民代表大会制度重要思想。严格执行领导班子决策前学习总书记重要讲话和有关重要论述制度，自觉把人大各项工作同习近平总书记重要指示对标对表，同党中央决策部署对标对表，同党的基本理论、基本路线、基本方略对标对表。严格执行重大事项请示报告制度，及时向市委请示报告人大工作中的重大问题、重要情况。贯彻落实省委人大工作会议精神，落实坚持和完善人民当家作主制度体系的重点任务和举措要求，把制度优势转化为治理效能。</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rPr>
      </w:pPr>
      <w:r>
        <w:rPr>
          <w:rFonts w:hint="eastAsia" w:ascii="仿宋_GB2312" w:hAnsi="黑体" w:eastAsia="仿宋_GB2312"/>
          <w:bCs/>
          <w:sz w:val="32"/>
          <w:szCs w:val="32"/>
          <w:lang w:eastAsia="zh-CN"/>
        </w:rPr>
        <w:t>（二）</w:t>
      </w:r>
      <w:r>
        <w:rPr>
          <w:rFonts w:hint="eastAsia" w:ascii="仿宋_GB2312" w:hAnsi="黑体" w:eastAsia="仿宋_GB2312"/>
          <w:bCs/>
          <w:sz w:val="32"/>
          <w:szCs w:val="32"/>
        </w:rPr>
        <w:t>紧扣市委决策部署积极担当作为</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rPr>
      </w:pPr>
      <w:r>
        <w:rPr>
          <w:rFonts w:hint="eastAsia" w:ascii="仿宋_GB2312" w:hAnsi="黑体" w:eastAsia="仿宋_GB2312"/>
          <w:bCs/>
          <w:sz w:val="32"/>
          <w:szCs w:val="32"/>
          <w:lang w:val="en-US" w:eastAsia="zh-CN"/>
        </w:rPr>
        <w:t>围绕市委十一届十二次全会提出的“十个方面”“40条举措”以及市委十一届十三次全会部署的“20项重大工程”“13个国字号品牌”，找准着力点，开展执法检查、视察监督、调研指导，推进市委决策部署落地见效。</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跟踪推进“十四五”规划落实。听取“十四五”规划任务分解、启动实施情况报告。以后逐年采取听取审议专项工作报告、组织代表视察、开展专题询问等方式，对各阶段任务完成情况进行评估、检查和监督。</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依法保障长江生态保护修复。宣传贯彻长江保护法。开展《安庆市长江江豚保护条例》执法检查，组织环保专家、人大代表参与，督促解决江豚食物缺乏、意外伤害、水体污染等3类突出问题，建设高标准的长江江豚救护基地、科研基地、生态保护基地。与县（市）区人大常委会联动，专题督导长江流域安庆段水污染防治和“十年禁渔”工作，共同推进长江“1515”岸线分级管控措施落实，促进长江流域绿色低碳发展。调研安庆沿江湿地保护工作，完善湿地保护规划，加快建设华阳河湖群生态缓冲带。</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全力推动乡村振兴。围绕“产业兴旺、生态宜居、乡风文明、治理有效、生活富裕”总要求，听取和审议市政府巩固拓展脱贫攻坚成果同乡村振兴有效衔接方案实施情况报告，督促推动脱贫攻坚体系全面转向乡村振兴。组织代表视察现代农业产业体系建设情况。开展农民合作社、家庭农场等新型农业经营主体培育工作调研，助力乡村经济振兴。开展村庄规划实施、村庄清洁行动调研，推动美丽乡村升级工程。</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高度关注城市管理。开展《安庆市城市管理条例》执法检查。听取审议文明城市建设情况工作报告。围绕基础设施建设、环境卫生整治、交通秩序改善等重点工作，开展专题询问，推动政府部门补缺补差，着力优化人居环境。视察滨江现代服务业集聚区、集贤关绿色发展示范区建设，推动产城融合发展。围绕文明城市建设与管理开展调研，及时启动立法准备工作，为依法巩固文明城市创建成果奠定基础。</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rPr>
      </w:pPr>
      <w:r>
        <w:rPr>
          <w:rFonts w:hint="eastAsia" w:ascii="仿宋_GB2312" w:hAnsi="黑体" w:eastAsia="仿宋_GB2312"/>
          <w:bCs/>
          <w:sz w:val="32"/>
          <w:szCs w:val="32"/>
          <w:lang w:eastAsia="zh-CN"/>
        </w:rPr>
        <w:t>（三）</w:t>
      </w:r>
      <w:r>
        <w:rPr>
          <w:rFonts w:hint="eastAsia" w:ascii="仿宋_GB2312" w:hAnsi="黑体" w:eastAsia="仿宋_GB2312"/>
          <w:bCs/>
          <w:sz w:val="32"/>
          <w:szCs w:val="32"/>
        </w:rPr>
        <w:t>紧扣人大履职要求履行法定职责</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eastAsia="zh-CN"/>
        </w:rPr>
      </w:pPr>
      <w:r>
        <w:rPr>
          <w:rFonts w:hint="eastAsia" w:ascii="仿宋_GB2312" w:hAnsi="黑体" w:eastAsia="仿宋_GB2312"/>
          <w:bCs/>
          <w:sz w:val="32"/>
          <w:szCs w:val="32"/>
          <w:lang w:val="en-US" w:eastAsia="zh-CN"/>
        </w:rPr>
        <w:t>以习近平法治思想为根本遵循，适应新阶段人大工作新要求，着力提升依法履职的法治效果和社会效应。</w:t>
      </w:r>
      <w:r>
        <w:rPr>
          <w:rFonts w:hint="eastAsia" w:ascii="仿宋_GB2312" w:hAnsi="黑体" w:eastAsia="仿宋_GB2312"/>
          <w:bCs/>
          <w:sz w:val="32"/>
          <w:szCs w:val="32"/>
          <w:lang w:eastAsia="zh-CN"/>
        </w:rPr>
        <w:t> </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高标准完成立法任务。坚持科学立法、民主立法、依法立法。完善立法机制，健全党委领导、人大主导、政府依托、各方参与的立法工作格局。重要立法项目提交市委常委会会议研究审定。重要法规草案实行起草小组“双组长制”。加快立法步伐，完成《安庆市黄梅戏保护传承条例》立法工作，推进《安庆市养犬管理条例》《安庆市养老服务条例》立法进程。强化法规实施效果跟踪调查评价，对已颁布实施的安庆市地方性法规逐年开展实施情况检查。配合省人大开展地方金融监管条例、人力资源市场条例、乡村振兴促进条例等立法调研。积极与长三角城市在生态环保、文明城市建设管理、历史文化保护等方面开展立法协作。</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eastAsia="zh-CN"/>
        </w:rPr>
      </w:pPr>
      <w:r>
        <w:rPr>
          <w:rFonts w:hint="eastAsia" w:ascii="仿宋_GB2312" w:hAnsi="黑体" w:eastAsia="仿宋_GB2312"/>
          <w:bCs/>
          <w:sz w:val="32"/>
          <w:szCs w:val="32"/>
          <w:lang w:val="en-US" w:eastAsia="zh-CN"/>
        </w:rPr>
        <w:t>高水平履行监督职责。</w:t>
      </w:r>
      <w:r>
        <w:rPr>
          <w:rFonts w:hint="eastAsia" w:ascii="仿宋_GB2312" w:hAnsi="黑体" w:eastAsia="仿宋_GB2312"/>
          <w:bCs/>
          <w:sz w:val="32"/>
          <w:szCs w:val="32"/>
          <w:lang w:eastAsia="zh-CN"/>
        </w:rPr>
        <w:t>力促经济平稳运行。</w:t>
      </w:r>
      <w:r>
        <w:rPr>
          <w:rFonts w:hint="eastAsia" w:ascii="仿宋_GB2312" w:hAnsi="黑体" w:eastAsia="仿宋_GB2312"/>
          <w:bCs/>
          <w:sz w:val="32"/>
          <w:szCs w:val="32"/>
          <w:lang w:val="en-US" w:eastAsia="zh-CN"/>
        </w:rPr>
        <w:t>围绕“进百强，上台阶”目标和市委统筹疫情防控与经济发展决策部署，实施有效监督。调研并审议年度经济社会发展情况，审查批准财政决算，审议计划和预算执行、审计及审计查出问题整改情况等报告；审议市政府关于2020年度国有资产管理综合报告及国有资产（自然资源）管理专项报告。开展《安徽省保护和促进台湾同胞投资条例》贯彻实施情况执法检查</w:t>
      </w:r>
      <w:r>
        <w:rPr>
          <w:rFonts w:hint="eastAsia" w:ascii="仿宋_GB2312" w:hAnsi="黑体" w:eastAsia="仿宋_GB2312"/>
          <w:bCs/>
          <w:sz w:val="32"/>
          <w:szCs w:val="32"/>
        </w:rPr>
        <w:t>。</w:t>
      </w:r>
      <w:r>
        <w:rPr>
          <w:rFonts w:hint="eastAsia" w:ascii="仿宋_GB2312" w:hAnsi="黑体" w:eastAsia="仿宋_GB2312"/>
          <w:bCs/>
          <w:sz w:val="32"/>
          <w:szCs w:val="32"/>
          <w:lang w:eastAsia="zh-CN"/>
        </w:rPr>
        <w:t>组织代表视察安庆综合保税区</w:t>
      </w:r>
      <w:r>
        <w:rPr>
          <w:rFonts w:hint="eastAsia" w:ascii="仿宋_GB2312" w:hAnsi="黑体" w:eastAsia="仿宋_GB2312"/>
          <w:bCs/>
          <w:sz w:val="32"/>
          <w:szCs w:val="32"/>
          <w:lang w:val="en-US" w:eastAsia="zh-CN"/>
        </w:rPr>
        <w:t>和港口建设情况。</w:t>
      </w:r>
      <w:r>
        <w:rPr>
          <w:rFonts w:hint="eastAsia" w:ascii="仿宋_GB2312" w:hAnsi="黑体" w:eastAsia="仿宋_GB2312"/>
          <w:bCs/>
          <w:sz w:val="32"/>
          <w:szCs w:val="32"/>
        </w:rPr>
        <w:t>聚力优化营商环境。重点</w:t>
      </w:r>
      <w:r>
        <w:rPr>
          <w:rFonts w:hint="eastAsia" w:ascii="仿宋_GB2312" w:hAnsi="黑体" w:eastAsia="仿宋_GB2312"/>
          <w:bCs/>
          <w:sz w:val="32"/>
          <w:szCs w:val="32"/>
          <w:lang w:eastAsia="zh-CN"/>
        </w:rPr>
        <w:t>督查</w:t>
      </w:r>
      <w:r>
        <w:rPr>
          <w:rFonts w:hint="eastAsia" w:ascii="仿宋_GB2312" w:hAnsi="黑体" w:eastAsia="仿宋_GB2312"/>
          <w:bCs/>
          <w:sz w:val="32"/>
          <w:szCs w:val="32"/>
        </w:rPr>
        <w:t>法治环境、政务环境</w:t>
      </w:r>
      <w:r>
        <w:rPr>
          <w:rFonts w:hint="eastAsia" w:ascii="仿宋_GB2312" w:hAnsi="黑体" w:eastAsia="仿宋_GB2312"/>
          <w:bCs/>
          <w:sz w:val="32"/>
          <w:szCs w:val="32"/>
          <w:lang w:eastAsia="zh-CN"/>
        </w:rPr>
        <w:t>的整治优化</w:t>
      </w:r>
      <w:r>
        <w:rPr>
          <w:rFonts w:hint="eastAsia" w:ascii="仿宋_GB2312" w:hAnsi="黑体" w:eastAsia="仿宋_GB2312"/>
          <w:bCs/>
          <w:sz w:val="32"/>
          <w:szCs w:val="32"/>
        </w:rPr>
        <w:t>。听取全市优化营商环境工作情况报告，就市场主体关注的政务服务、</w:t>
      </w:r>
      <w:r>
        <w:rPr>
          <w:rFonts w:hint="eastAsia" w:ascii="仿宋_GB2312" w:hAnsi="黑体" w:eastAsia="仿宋_GB2312"/>
          <w:bCs/>
          <w:sz w:val="32"/>
          <w:szCs w:val="32"/>
          <w:lang w:val="en-US" w:eastAsia="zh-CN"/>
        </w:rPr>
        <w:t>要素保障、</w:t>
      </w:r>
      <w:r>
        <w:rPr>
          <w:rFonts w:hint="eastAsia" w:ascii="仿宋_GB2312" w:hAnsi="黑体" w:eastAsia="仿宋_GB2312"/>
          <w:bCs/>
          <w:sz w:val="32"/>
          <w:szCs w:val="32"/>
        </w:rPr>
        <w:t>涉企政策落实等，专题询问</w:t>
      </w:r>
      <w:r>
        <w:rPr>
          <w:rFonts w:hint="eastAsia" w:ascii="仿宋_GB2312" w:hAnsi="黑体" w:eastAsia="仿宋_GB2312"/>
          <w:bCs/>
          <w:sz w:val="32"/>
          <w:szCs w:val="32"/>
          <w:lang w:eastAsia="zh-CN"/>
        </w:rPr>
        <w:t>有关</w:t>
      </w:r>
      <w:r>
        <w:rPr>
          <w:rFonts w:hint="eastAsia" w:ascii="仿宋_GB2312" w:hAnsi="黑体" w:eastAsia="仿宋_GB2312"/>
          <w:bCs/>
          <w:sz w:val="32"/>
          <w:szCs w:val="32"/>
        </w:rPr>
        <w:t>工作部门。</w:t>
      </w:r>
      <w:r>
        <w:rPr>
          <w:rFonts w:hint="eastAsia" w:ascii="仿宋_GB2312" w:hAnsi="黑体" w:eastAsia="仿宋_GB2312"/>
          <w:bCs/>
          <w:sz w:val="32"/>
          <w:szCs w:val="32"/>
          <w:lang w:eastAsia="zh-CN"/>
        </w:rPr>
        <w:t>不断促进公正司法</w:t>
      </w:r>
      <w:r>
        <w:rPr>
          <w:rFonts w:hint="eastAsia" w:ascii="仿宋_GB2312" w:hAnsi="黑体" w:eastAsia="仿宋_GB2312"/>
          <w:bCs/>
          <w:sz w:val="32"/>
          <w:szCs w:val="32"/>
        </w:rPr>
        <w:t>。听取法律援助情况工作报告，审议市中级人民法院关于民事合同审判工作、市人民检察院关于认罪认罚工作情况报告。支持检察机关开展公益诉讼</w:t>
      </w:r>
      <w:r>
        <w:rPr>
          <w:rFonts w:hint="eastAsia" w:ascii="仿宋_GB2312" w:hAnsi="黑体" w:eastAsia="仿宋_GB2312"/>
          <w:bCs/>
          <w:sz w:val="32"/>
          <w:szCs w:val="32"/>
          <w:lang w:eastAsia="zh-CN"/>
        </w:rPr>
        <w:t>。</w:t>
      </w:r>
      <w:r>
        <w:rPr>
          <w:rFonts w:hint="eastAsia" w:ascii="仿宋_GB2312" w:hAnsi="黑体" w:eastAsia="仿宋_GB2312"/>
          <w:bCs/>
          <w:sz w:val="32"/>
          <w:szCs w:val="32"/>
        </w:rPr>
        <w:t>做好涉法涉诉信访工作。</w:t>
      </w:r>
      <w:r>
        <w:rPr>
          <w:rFonts w:hint="eastAsia" w:ascii="仿宋_GB2312" w:hAnsi="黑体" w:eastAsia="仿宋_GB2312"/>
          <w:bCs/>
          <w:sz w:val="32"/>
          <w:szCs w:val="32"/>
          <w:lang w:eastAsia="zh-CN"/>
        </w:rPr>
        <w:t>保障改善民生和推进社会治理。开展“名院、名科、名医”建设和基础教育集团化办学情况调研，保障和促进人民群众就好医、上好学。审议应急管理体系和能力建设情况报告，助推市域</w:t>
      </w:r>
      <w:r>
        <w:rPr>
          <w:rFonts w:hint="eastAsia" w:ascii="仿宋_GB2312" w:hAnsi="黑体" w:eastAsia="仿宋_GB2312"/>
          <w:bCs/>
          <w:sz w:val="32"/>
          <w:szCs w:val="32"/>
          <w:lang w:val="en-US" w:eastAsia="zh-CN"/>
        </w:rPr>
        <w:t>社会</w:t>
      </w:r>
      <w:r>
        <w:rPr>
          <w:rFonts w:hint="eastAsia" w:ascii="仿宋_GB2312" w:hAnsi="黑体" w:eastAsia="仿宋_GB2312"/>
          <w:bCs/>
          <w:sz w:val="32"/>
          <w:szCs w:val="32"/>
          <w:lang w:eastAsia="zh-CN"/>
        </w:rPr>
        <w:t>治理现代化。</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eastAsia="zh-CN"/>
        </w:rPr>
      </w:pPr>
      <w:r>
        <w:rPr>
          <w:rFonts w:hint="eastAsia" w:ascii="仿宋_GB2312" w:hAnsi="黑体" w:eastAsia="仿宋_GB2312"/>
          <w:bCs/>
          <w:sz w:val="32"/>
          <w:szCs w:val="32"/>
          <w:lang w:val="en-US" w:eastAsia="zh-CN"/>
        </w:rPr>
        <w:t>高质量行使决定权和任免权。</w:t>
      </w:r>
      <w:r>
        <w:rPr>
          <w:rFonts w:hint="eastAsia" w:ascii="仿宋_GB2312" w:hAnsi="黑体" w:eastAsia="仿宋_GB2312"/>
          <w:bCs/>
          <w:sz w:val="32"/>
          <w:szCs w:val="32"/>
          <w:lang w:eastAsia="zh-CN"/>
        </w:rPr>
        <w:t>全面落实中央关于健全人大讨论决定重大事项制度的部署要求，</w:t>
      </w:r>
      <w:r>
        <w:rPr>
          <w:rFonts w:hint="eastAsia" w:ascii="仿宋_GB2312" w:hAnsi="黑体" w:eastAsia="仿宋_GB2312"/>
          <w:bCs/>
          <w:sz w:val="32"/>
          <w:szCs w:val="32"/>
          <w:lang w:val="en-US" w:eastAsia="zh-CN"/>
        </w:rPr>
        <w:t>围绕保障和推动中央及省委、市委重大决策部署、促进改善人民生活品质、提高社会建设水平、开展“八五”普法宣传教育</w:t>
      </w:r>
      <w:r>
        <w:rPr>
          <w:rFonts w:hint="eastAsia" w:ascii="仿宋_GB2312" w:hAnsi="黑体" w:eastAsia="仿宋_GB2312"/>
          <w:bCs/>
          <w:sz w:val="32"/>
          <w:szCs w:val="32"/>
        </w:rPr>
        <w:t>，作出决定决议，加强对落实情况的监督检查。</w:t>
      </w:r>
      <w:r>
        <w:rPr>
          <w:rFonts w:hint="eastAsia" w:ascii="仿宋_GB2312" w:hAnsi="黑体" w:eastAsia="仿宋_GB2312"/>
          <w:bCs/>
          <w:sz w:val="32"/>
          <w:szCs w:val="32"/>
          <w:lang w:val="en-US" w:eastAsia="zh-CN"/>
        </w:rPr>
        <w:t>坚持党管干部和人大依法任免有机统一的原则，进一步规范人事任免工作程序，健全任前法律知识考试、供职发言、宪法宣誓等工作机制，</w:t>
      </w:r>
      <w:r>
        <w:rPr>
          <w:rFonts w:hint="eastAsia" w:ascii="仿宋_GB2312" w:hAnsi="黑体" w:eastAsia="仿宋_GB2312"/>
          <w:bCs/>
          <w:sz w:val="32"/>
          <w:szCs w:val="32"/>
        </w:rPr>
        <w:t>继续开展市人大常委会任命的</w:t>
      </w:r>
      <w:r>
        <w:rPr>
          <w:rFonts w:hint="eastAsia" w:ascii="仿宋_GB2312" w:hAnsi="黑体" w:eastAsia="仿宋_GB2312"/>
          <w:bCs/>
          <w:sz w:val="32"/>
          <w:szCs w:val="32"/>
          <w:lang w:eastAsia="zh-CN"/>
        </w:rPr>
        <w:t>地方国家机关</w:t>
      </w:r>
      <w:r>
        <w:rPr>
          <w:rFonts w:hint="eastAsia" w:ascii="仿宋_GB2312" w:hAnsi="黑体" w:eastAsia="仿宋_GB2312"/>
          <w:bCs/>
          <w:sz w:val="32"/>
          <w:szCs w:val="32"/>
        </w:rPr>
        <w:t>工作人员任后述职，</w:t>
      </w:r>
      <w:r>
        <w:rPr>
          <w:rFonts w:hint="eastAsia" w:ascii="仿宋_GB2312" w:hAnsi="黑体" w:eastAsia="仿宋_GB2312"/>
          <w:bCs/>
          <w:sz w:val="32"/>
          <w:szCs w:val="32"/>
          <w:lang w:eastAsia="zh-CN"/>
        </w:rPr>
        <w:t>推动人事任免工作水平全面提升。</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rPr>
      </w:pPr>
      <w:r>
        <w:rPr>
          <w:rFonts w:hint="eastAsia" w:ascii="仿宋_GB2312" w:hAnsi="黑体" w:eastAsia="仿宋_GB2312"/>
          <w:bCs/>
          <w:sz w:val="32"/>
          <w:szCs w:val="32"/>
        </w:rPr>
        <w:t>今明两年，我市将陆续开展新一轮县乡人大换届选举。</w:t>
      </w:r>
      <w:r>
        <w:rPr>
          <w:rFonts w:hint="eastAsia" w:ascii="仿宋_GB2312" w:hAnsi="黑体" w:eastAsia="仿宋_GB2312"/>
          <w:bCs/>
          <w:sz w:val="32"/>
          <w:szCs w:val="32"/>
          <w:lang w:eastAsia="zh-CN"/>
        </w:rPr>
        <w:t>这是全市人民政治生活中的一件大事，是新时代社会主义民主政治建设的一次重要实践。市人大</w:t>
      </w:r>
      <w:r>
        <w:rPr>
          <w:rFonts w:hint="eastAsia" w:ascii="仿宋_GB2312" w:hAnsi="黑体" w:eastAsia="仿宋_GB2312"/>
          <w:bCs/>
          <w:sz w:val="32"/>
          <w:szCs w:val="32"/>
        </w:rPr>
        <w:t>常委会将加强对换届工作的指导，督促</w:t>
      </w:r>
      <w:r>
        <w:rPr>
          <w:rFonts w:hint="eastAsia" w:ascii="仿宋_GB2312" w:hAnsi="黑体" w:eastAsia="仿宋_GB2312"/>
          <w:bCs/>
          <w:sz w:val="32"/>
          <w:szCs w:val="32"/>
          <w:lang w:eastAsia="zh-CN"/>
        </w:rPr>
        <w:t>各地</w:t>
      </w:r>
      <w:r>
        <w:rPr>
          <w:rFonts w:hint="eastAsia" w:ascii="仿宋_GB2312" w:hAnsi="黑体" w:eastAsia="仿宋_GB2312"/>
          <w:bCs/>
          <w:sz w:val="32"/>
          <w:szCs w:val="32"/>
          <w:lang w:val="en-US" w:eastAsia="zh-CN"/>
        </w:rPr>
        <w:t>依法</w:t>
      </w:r>
      <w:r>
        <w:rPr>
          <w:rFonts w:hint="eastAsia" w:ascii="仿宋_GB2312" w:hAnsi="黑体" w:eastAsia="仿宋_GB2312"/>
          <w:bCs/>
          <w:sz w:val="32"/>
          <w:szCs w:val="32"/>
        </w:rPr>
        <w:t>做好选举组织工作，严肃换届纪律，保证风清气正，为巩固基层政权</w:t>
      </w:r>
      <w:r>
        <w:rPr>
          <w:rFonts w:hint="eastAsia" w:ascii="仿宋_GB2312" w:hAnsi="黑体" w:eastAsia="仿宋_GB2312"/>
          <w:bCs/>
          <w:sz w:val="32"/>
          <w:szCs w:val="32"/>
          <w:lang w:eastAsia="zh-CN"/>
        </w:rPr>
        <w:t>尽职尽责尽力</w:t>
      </w:r>
      <w:r>
        <w:rPr>
          <w:rFonts w:hint="eastAsia" w:ascii="仿宋_GB2312" w:hAnsi="黑体" w:eastAsia="仿宋_GB2312"/>
          <w:bCs/>
          <w:sz w:val="32"/>
          <w:szCs w:val="32"/>
        </w:rPr>
        <w:t>。</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rPr>
      </w:pPr>
      <w:r>
        <w:rPr>
          <w:rFonts w:hint="eastAsia" w:ascii="仿宋_GB2312" w:hAnsi="黑体" w:eastAsia="仿宋_GB2312"/>
          <w:bCs/>
          <w:sz w:val="32"/>
          <w:szCs w:val="32"/>
          <w:lang w:eastAsia="zh-CN"/>
        </w:rPr>
        <w:t>（四）</w:t>
      </w:r>
      <w:r>
        <w:rPr>
          <w:rFonts w:hint="eastAsia" w:ascii="仿宋_GB2312" w:hAnsi="黑体" w:eastAsia="仿宋_GB2312"/>
          <w:bCs/>
          <w:sz w:val="32"/>
          <w:szCs w:val="32"/>
        </w:rPr>
        <w:t>紧扣</w:t>
      </w:r>
      <w:r>
        <w:rPr>
          <w:rFonts w:hint="eastAsia" w:ascii="仿宋_GB2312" w:hAnsi="黑体" w:eastAsia="仿宋_GB2312"/>
          <w:bCs/>
          <w:sz w:val="32"/>
          <w:szCs w:val="32"/>
          <w:lang w:eastAsia="zh-CN"/>
        </w:rPr>
        <w:t>新阶段目标任务</w:t>
      </w:r>
      <w:r>
        <w:rPr>
          <w:rFonts w:hint="eastAsia" w:ascii="仿宋_GB2312" w:hAnsi="黑体" w:eastAsia="仿宋_GB2312"/>
          <w:bCs/>
          <w:sz w:val="32"/>
          <w:szCs w:val="32"/>
        </w:rPr>
        <w:t>发挥代表</w:t>
      </w:r>
      <w:r>
        <w:rPr>
          <w:rFonts w:hint="eastAsia" w:ascii="仿宋_GB2312" w:hAnsi="黑体" w:eastAsia="仿宋_GB2312"/>
          <w:bCs/>
          <w:sz w:val="32"/>
          <w:szCs w:val="32"/>
          <w:lang w:eastAsia="zh-CN"/>
        </w:rPr>
        <w:t>主体</w:t>
      </w:r>
      <w:r>
        <w:rPr>
          <w:rFonts w:hint="eastAsia" w:ascii="仿宋_GB2312" w:hAnsi="黑体" w:eastAsia="仿宋_GB2312"/>
          <w:bCs/>
          <w:sz w:val="32"/>
          <w:szCs w:val="32"/>
        </w:rPr>
        <w:t>作用</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积极探索新阶段、新形势、新任务下代表工作的新途径，为代表执行职务搭建更便捷的平台、提供更有效的保障。</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健全代表联络机制。进一步完善市人大常委会、“一府一委两院”联系代表、向代表通报工作情况制度。更多的安排基层代表列席常委会会议、参加执法检查和视察调研活动。丰富代表小组活动。指导推动代表活动室、代表之家规范化建设。支持人大代表通过多种形式广泛联系人民群众。</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加强代表履职保障。不断规范、保障和促进代表依法履职，更好发挥代表作用。以做好换届选举工作为重点，有针对性地开展代表履职业务培训。注重基层代表能力素质建设，确保本届任期内基层代表培训全覆盖。组织代表围绕国计民生问题开展专题调研和集中视察。采取多种方式向代表通报重要工作情况。逐步落实代表履职经费保障。继续做好驻宜全国和省人大代表履职服务工作。</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提高建议办理质量。把提高代表建议办理质量作为工作抓手，做到“既要重结果、也要重过程”。积极构建议案建议交、办、督贯通机制，推行市政府负责人领办制度。推动将办理情况纳入领导班子和领导干部考核范围，探索开展第三方评估和满意度测评。适时开展优秀代表建议评比活动，进一步提高代表建议质量和水平。</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规范代表履职管理。贯彻落实党中央和全国人大关于代表管理和监督的有关规定。制定代表履职监督管理办法，完善履职管理监督机制。建立代表履职档案。强化代表的作风建设和纪律约束。</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eastAsia="zh-CN"/>
        </w:rPr>
        <w:t>（五）</w:t>
      </w:r>
      <w:r>
        <w:rPr>
          <w:rFonts w:hint="eastAsia" w:ascii="仿宋_GB2312" w:hAnsi="黑体" w:eastAsia="仿宋_GB2312"/>
          <w:bCs/>
          <w:sz w:val="32"/>
          <w:szCs w:val="32"/>
          <w:lang w:val="en-US" w:eastAsia="zh-CN"/>
        </w:rPr>
        <w:t>紧扣中央及省委、市委人大工作部署强化自身建设</w:t>
      </w:r>
    </w:p>
    <w:p>
      <w:pPr>
        <w:pStyle w:val="5"/>
        <w:adjustRightInd w:val="0"/>
        <w:snapToGrid w:val="0"/>
        <w:spacing w:before="0" w:beforeAutospacing="0" w:after="0" w:afterAutospacing="0" w:line="360" w:lineRule="auto"/>
        <w:ind w:firstLine="627" w:firstLineChars="196"/>
        <w:jc w:val="both"/>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深入学习贯彻习近平法治思想、习近平总书记关于坚持和完善人民代表大会制度的重要思想，认真落实中央及省委、市委关于加强人大工作决策部署，全面加强市人大常委会及机关各项建设。组织开展庆祝中国共产党成立100周年活动，激励常委会组成人员及机关干部更加坚定理想信念、牢记初心使命、永葆政治本色，以高水平、高质效的履职成果践行“两个维护”。协助市委召开人大工作会议，对新阶段全市人大工作和建设作出战略部署。深化争创“一流政治机关、一流工作机关”建设模范机关活动，开展创建成果检查评比“回头看”。加强宪法、民法典等法律知识学习，提升依法履职能力。深入推进“五五工程”，提高机关党建水平。着力完善人大组织制度、选举实施细则、议事规则及论证、评估、评议、听证等制度，健全适应地方国家权力机关特点、充满活力的制度机制。加强对县乡人大工作和建设的指导，密切工作协同，增强履职合力，汇聚全市各级人大的力量，投身到奋战“十四五”、完成新目标的伟大实践中去。</w:t>
      </w: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rPr>
          <w:rFonts w:ascii="黑体" w:hAnsi="黑体" w:eastAsia="黑体"/>
          <w:bCs/>
          <w:sz w:val="36"/>
          <w:szCs w:val="36"/>
        </w:rPr>
      </w:pPr>
    </w:p>
    <w:p>
      <w:pPr>
        <w:pStyle w:val="5"/>
        <w:adjustRightInd w:val="0"/>
        <w:snapToGrid w:val="0"/>
        <w:spacing w:before="0" w:beforeAutospacing="0" w:after="0" w:afterAutospacing="0" w:line="360" w:lineRule="auto"/>
        <w:jc w:val="both"/>
        <w:rPr>
          <w:rFonts w:hint="eastAsia" w:ascii="黑体" w:hAnsi="黑体" w:eastAsia="黑体"/>
          <w:bCs/>
          <w:sz w:val="36"/>
          <w:szCs w:val="36"/>
        </w:rPr>
      </w:pPr>
    </w:p>
    <w:p>
      <w:pPr>
        <w:pStyle w:val="5"/>
        <w:adjustRightInd w:val="0"/>
        <w:snapToGrid w:val="0"/>
        <w:spacing w:before="0" w:beforeAutospacing="0" w:after="0" w:afterAutospacing="0" w:line="360" w:lineRule="auto"/>
        <w:ind w:firstLine="1800" w:firstLineChars="500"/>
        <w:jc w:val="both"/>
        <w:rPr>
          <w:rFonts w:ascii="黑体" w:hAnsi="黑体" w:eastAsia="黑体"/>
          <w:bCs/>
          <w:sz w:val="36"/>
          <w:szCs w:val="36"/>
        </w:rPr>
      </w:pPr>
      <w:r>
        <w:rPr>
          <w:rFonts w:hint="eastAsia" w:ascii="黑体" w:hAnsi="黑体" w:eastAsia="黑体"/>
          <w:bCs/>
          <w:sz w:val="36"/>
          <w:szCs w:val="36"/>
        </w:rPr>
        <w:t>第二部分 2021年部门预算表</w:t>
      </w:r>
    </w:p>
    <w:p>
      <w:pPr>
        <w:jc w:val="right"/>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公开表1</w:t>
      </w:r>
    </w:p>
    <w:p>
      <w:pPr>
        <w:rPr>
          <w:rFonts w:hint="eastAsia"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安庆市人民代表大会常务委员会办公室</w:t>
      </w:r>
      <w:r>
        <w:rPr>
          <w:rFonts w:hint="eastAsia" w:ascii="华文中宋" w:hAnsi="华文中宋" w:eastAsia="华文中宋" w:cs="宋体"/>
          <w:b/>
          <w:bCs/>
          <w:kern w:val="0"/>
          <w:sz w:val="32"/>
          <w:szCs w:val="32"/>
        </w:rPr>
        <w:t>2021年收支总表</w:t>
      </w:r>
    </w:p>
    <w:p>
      <w:pPr>
        <w:pStyle w:val="2"/>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单位：万元</w:t>
      </w:r>
      <w:r>
        <w:rPr>
          <w:bdr w:val="single" w:sz="4" w:space="0"/>
        </w:rPr>
        <w:drawing>
          <wp:inline distT="0" distB="0" distL="114300" distR="114300">
            <wp:extent cx="5273040" cy="7510145"/>
            <wp:effectExtent l="0" t="0" r="381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040" cy="7510145"/>
                    </a:xfrm>
                    <a:prstGeom prst="rect">
                      <a:avLst/>
                    </a:prstGeom>
                    <a:noFill/>
                    <a:ln>
                      <a:noFill/>
                    </a:ln>
                  </pic:spPr>
                </pic:pic>
              </a:graphicData>
            </a:graphic>
          </wp:inline>
        </w:drawing>
      </w:r>
    </w:p>
    <w:p>
      <w:pPr>
        <w:pStyle w:val="5"/>
        <w:adjustRightInd w:val="0"/>
        <w:snapToGrid w:val="0"/>
        <w:spacing w:before="0" w:beforeAutospacing="0" w:after="0" w:afterAutospacing="0" w:line="360" w:lineRule="auto"/>
        <w:ind w:firstLine="1000" w:firstLineChars="500"/>
        <w:jc w:val="both"/>
        <w:rPr>
          <w:rFonts w:ascii="黑体" w:hAnsi="黑体" w:eastAsia="黑体"/>
          <w:bCs/>
          <w:sz w:val="36"/>
          <w:szCs w:val="36"/>
        </w:rPr>
      </w:pPr>
      <w:r>
        <w:rPr>
          <w:rFonts w:hint="eastAsia" w:ascii="宋体" w:hAnsi="宋体" w:cs="宋体"/>
          <w:kern w:val="0"/>
          <w:sz w:val="20"/>
          <w:szCs w:val="20"/>
        </w:rPr>
        <w:t xml:space="preserve">         </w:t>
      </w:r>
    </w:p>
    <w:p>
      <w:pPr>
        <w:jc w:val="right"/>
        <w:rPr>
          <w:rFonts w:hint="eastAsia" w:ascii="宋体" w:hAnsi="宋体" w:cs="宋体"/>
          <w:kern w:val="0"/>
          <w:sz w:val="20"/>
          <w:szCs w:val="20"/>
          <w:lang w:val="en-US" w:eastAsia="zh-CN"/>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p>
    <w:p>
      <w:pPr>
        <w:jc w:val="right"/>
        <w:rPr>
          <w:rFonts w:hint="eastAsia" w:eastAsiaTheme="minorEastAsia"/>
          <w:lang w:eastAsia="zh-CN"/>
        </w:rPr>
      </w:pPr>
      <w:r>
        <w:rPr>
          <w:rFonts w:hint="eastAsia" w:ascii="宋体" w:hAnsi="宋体" w:cs="宋体"/>
          <w:kern w:val="0"/>
          <w:sz w:val="20"/>
          <w:szCs w:val="20"/>
        </w:rPr>
        <w:t xml:space="preserve"> </w:t>
      </w:r>
      <w:r>
        <w:rPr>
          <w:rFonts w:hint="eastAsia" w:ascii="宋体" w:hAnsi="宋体" w:cs="宋体"/>
          <w:kern w:val="0"/>
          <w:sz w:val="20"/>
          <w:szCs w:val="20"/>
          <w:lang w:eastAsia="zh-CN"/>
        </w:rPr>
        <w:t>部门</w:t>
      </w:r>
      <w:r>
        <w:rPr>
          <w:rFonts w:hint="eastAsia" w:ascii="宋体" w:hAnsi="宋体" w:cs="宋体"/>
          <w:kern w:val="0"/>
          <w:sz w:val="20"/>
          <w:szCs w:val="20"/>
        </w:rPr>
        <w:t>公开表</w:t>
      </w:r>
      <w:r>
        <w:rPr>
          <w:rFonts w:hint="eastAsia" w:ascii="宋体" w:hAnsi="宋体" w:cs="宋体"/>
          <w:kern w:val="0"/>
          <w:sz w:val="20"/>
          <w:szCs w:val="20"/>
          <w:lang w:val="en-US" w:eastAsia="zh-CN"/>
        </w:rPr>
        <w:t>2</w:t>
      </w:r>
    </w:p>
    <w:p>
      <w:pPr>
        <w:rPr>
          <w:rFonts w:hint="eastAsia"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安庆市人民代表大会常务委员会办公室</w:t>
      </w:r>
      <w:r>
        <w:rPr>
          <w:rFonts w:hint="eastAsia" w:ascii="华文中宋" w:hAnsi="华文中宋" w:eastAsia="华文中宋" w:cs="宋体"/>
          <w:b/>
          <w:bCs/>
          <w:kern w:val="0"/>
          <w:sz w:val="32"/>
          <w:szCs w:val="32"/>
        </w:rPr>
        <w:t>2021年收</w:t>
      </w:r>
      <w:r>
        <w:rPr>
          <w:rFonts w:hint="eastAsia" w:ascii="华文中宋" w:hAnsi="华文中宋" w:eastAsia="华文中宋" w:cs="宋体"/>
          <w:b/>
          <w:bCs/>
          <w:kern w:val="0"/>
          <w:sz w:val="32"/>
          <w:szCs w:val="32"/>
          <w:lang w:eastAsia="zh-CN"/>
        </w:rPr>
        <w:t>入</w:t>
      </w:r>
      <w:r>
        <w:rPr>
          <w:rFonts w:hint="eastAsia" w:ascii="华文中宋" w:hAnsi="华文中宋" w:eastAsia="华文中宋" w:cs="宋体"/>
          <w:b/>
          <w:bCs/>
          <w:kern w:val="0"/>
          <w:sz w:val="32"/>
          <w:szCs w:val="32"/>
        </w:rPr>
        <w:t>总表</w:t>
      </w:r>
    </w:p>
    <w:p>
      <w:pPr>
        <w:ind w:left="4788" w:leftChars="2280" w:firstLine="2400" w:firstLineChars="1200"/>
      </w:pPr>
      <w:r>
        <w:rPr>
          <w:rFonts w:hint="eastAsia" w:ascii="宋体" w:hAnsi="宋体" w:cs="宋体"/>
          <w:kern w:val="0"/>
          <w:sz w:val="20"/>
          <w:szCs w:val="20"/>
        </w:rPr>
        <w:t xml:space="preserve"> 单位：万元   </w:t>
      </w: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w:t>
      </w:r>
    </w:p>
    <w:p>
      <w:pPr>
        <w:pStyle w:val="2"/>
      </w:pPr>
    </w:p>
    <w:p>
      <w:pPr>
        <w:pStyle w:val="2"/>
      </w:pPr>
      <w:r>
        <w:drawing>
          <wp:inline distT="0" distB="0" distL="114300" distR="114300">
            <wp:extent cx="5269865" cy="1958340"/>
            <wp:effectExtent l="0" t="0" r="698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9865" cy="1958340"/>
                    </a:xfrm>
                    <a:prstGeom prst="rect">
                      <a:avLst/>
                    </a:prstGeom>
                    <a:noFill/>
                    <a:ln>
                      <a:noFill/>
                    </a:ln>
                  </pic:spPr>
                </pic:pic>
              </a:graphicData>
            </a:graphic>
          </wp:inline>
        </w:drawing>
      </w:r>
    </w:p>
    <w:p>
      <w:pPr>
        <w:pStyle w:val="2"/>
      </w:pPr>
    </w:p>
    <w:p>
      <w:pPr>
        <w:rPr>
          <w:rFonts w:ascii="宋体" w:hAnsi="宋体" w:cs="宋体"/>
          <w:kern w:val="0"/>
          <w:sz w:val="20"/>
          <w:szCs w:val="20"/>
        </w:rPr>
        <w:sectPr>
          <w:footerReference r:id="rId3" w:type="default"/>
          <w:pgSz w:w="11906" w:h="16838"/>
          <w:pgMar w:top="1440" w:right="1800" w:bottom="1440" w:left="1800" w:header="851" w:footer="992" w:gutter="0"/>
          <w:cols w:space="425" w:num="1"/>
          <w:docGrid w:type="lines" w:linePitch="312" w:charSpace="0"/>
        </w:sectPr>
      </w:pPr>
    </w:p>
    <w:p>
      <w:pPr>
        <w:ind w:firstLine="5800" w:firstLineChars="2900"/>
        <w:jc w:val="right"/>
        <w:rPr>
          <w:rFonts w:hint="eastAsia" w:ascii="宋体" w:hAnsi="宋体" w:cs="宋体"/>
          <w:kern w:val="0"/>
          <w:sz w:val="20"/>
          <w:szCs w:val="20"/>
        </w:rPr>
      </w:pPr>
    </w:p>
    <w:p>
      <w:pPr>
        <w:ind w:firstLine="5800" w:firstLineChars="2900"/>
        <w:jc w:val="right"/>
        <w:rPr>
          <w:rFonts w:hint="eastAsia" w:ascii="宋体" w:hAnsi="宋体" w:cs="宋体"/>
          <w:kern w:val="0"/>
          <w:sz w:val="20"/>
          <w:szCs w:val="20"/>
        </w:rPr>
      </w:pPr>
    </w:p>
    <w:p>
      <w:pPr>
        <w:ind w:firstLine="5800" w:firstLineChars="2900"/>
        <w:jc w:val="right"/>
        <w:rPr>
          <w:rFonts w:ascii="宋体" w:hAnsi="宋体" w:cs="宋体"/>
          <w:kern w:val="0"/>
          <w:sz w:val="20"/>
          <w:szCs w:val="20"/>
        </w:rPr>
      </w:pPr>
      <w:r>
        <w:rPr>
          <w:rFonts w:hint="eastAsia" w:ascii="宋体" w:hAnsi="宋体" w:cs="宋体"/>
          <w:kern w:val="0"/>
          <w:sz w:val="20"/>
          <w:szCs w:val="20"/>
        </w:rPr>
        <w:t>部门公开表3</w:t>
      </w:r>
    </w:p>
    <w:p>
      <w:pPr>
        <w:ind w:left="7688" w:hanging="7688" w:hangingChars="2400"/>
        <w:jc w:val="center"/>
        <w:rPr>
          <w:rFonts w:hint="eastAsia" w:ascii="华文中宋" w:hAnsi="华文中宋" w:eastAsia="华文中宋" w:cs="宋体"/>
          <w:b/>
          <w:bCs/>
          <w:kern w:val="0"/>
          <w:sz w:val="32"/>
          <w:szCs w:val="32"/>
          <w:lang w:eastAsia="zh-CN"/>
        </w:rPr>
      </w:pPr>
      <w:r>
        <w:rPr>
          <w:rFonts w:hint="eastAsia" w:ascii="华文中宋" w:hAnsi="华文中宋" w:eastAsia="华文中宋" w:cs="宋体"/>
          <w:b/>
          <w:bCs/>
          <w:kern w:val="0"/>
          <w:sz w:val="32"/>
          <w:szCs w:val="32"/>
          <w:lang w:eastAsia="zh-CN"/>
        </w:rPr>
        <w:t>安庆市人民代表大会常务委员会办公室</w:t>
      </w:r>
      <w:r>
        <w:rPr>
          <w:rFonts w:hint="eastAsia" w:ascii="华文中宋" w:hAnsi="华文中宋" w:eastAsia="华文中宋" w:cs="宋体"/>
          <w:b/>
          <w:bCs/>
          <w:kern w:val="0"/>
          <w:sz w:val="32"/>
          <w:szCs w:val="32"/>
        </w:rPr>
        <w:t>2021年支出</w:t>
      </w:r>
      <w:r>
        <w:rPr>
          <w:rFonts w:hint="eastAsia" w:ascii="华文中宋" w:hAnsi="华文中宋" w:eastAsia="华文中宋" w:cs="宋体"/>
          <w:b/>
          <w:bCs/>
          <w:kern w:val="0"/>
          <w:sz w:val="32"/>
          <w:szCs w:val="32"/>
          <w:lang w:eastAsia="zh-CN"/>
        </w:rPr>
        <w:t>总表</w:t>
      </w:r>
    </w:p>
    <w:p>
      <w:pPr>
        <w:ind w:left="4788" w:leftChars="2280" w:firstLine="2400" w:firstLineChars="1200"/>
        <w:rPr>
          <w:rFonts w:ascii="华文中宋" w:hAnsi="华文中宋" w:eastAsia="华文中宋" w:cs="宋体"/>
          <w:b/>
          <w:bCs/>
          <w:kern w:val="0"/>
          <w:sz w:val="32"/>
          <w:szCs w:val="32"/>
        </w:rPr>
      </w:pPr>
      <w:r>
        <w:rPr>
          <w:rFonts w:hint="eastAsia" w:ascii="宋体" w:hAnsi="宋体" w:cs="宋体"/>
          <w:kern w:val="0"/>
          <w:sz w:val="20"/>
          <w:szCs w:val="20"/>
        </w:rPr>
        <w:t xml:space="preserve">单位：万元 </w:t>
      </w:r>
    </w:p>
    <w:p>
      <w:pPr>
        <w:ind w:left="7400" w:hanging="7400" w:hangingChars="3700"/>
        <w:rPr>
          <w:rFonts w:hint="eastAsia" w:ascii="宋体" w:hAnsi="宋体" w:cs="宋体"/>
          <w:kern w:val="0"/>
          <w:sz w:val="20"/>
          <w:szCs w:val="20"/>
        </w:rPr>
      </w:pPr>
      <w:r>
        <w:rPr>
          <w:rFonts w:hint="eastAsia" w:ascii="宋体" w:hAnsi="宋体" w:cs="宋体"/>
          <w:kern w:val="0"/>
          <w:sz w:val="20"/>
          <w:szCs w:val="20"/>
        </w:rPr>
        <w:t xml:space="preserve">                                                                     </w:t>
      </w:r>
    </w:p>
    <w:p>
      <w:pPr>
        <w:pStyle w:val="2"/>
      </w:pPr>
      <w:r>
        <w:drawing>
          <wp:inline distT="0" distB="0" distL="114300" distR="114300">
            <wp:extent cx="5271135" cy="49530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1135" cy="4953000"/>
                    </a:xfrm>
                    <a:prstGeom prst="rect">
                      <a:avLst/>
                    </a:prstGeom>
                    <a:noFill/>
                    <a:ln>
                      <a:noFill/>
                    </a:ln>
                  </pic:spPr>
                </pic:pic>
              </a:graphicData>
            </a:graphic>
          </wp:inline>
        </w:drawing>
      </w:r>
    </w:p>
    <w:p/>
    <w:p/>
    <w:p/>
    <w:p/>
    <w:p/>
    <w:p/>
    <w:p/>
    <w:p/>
    <w:p/>
    <w:p/>
    <w:p>
      <w:pPr>
        <w:rPr>
          <w:rFonts w:hint="eastAsia" w:ascii="宋体" w:hAnsi="宋体" w:cs="宋体"/>
          <w:kern w:val="0"/>
          <w:sz w:val="20"/>
          <w:szCs w:val="20"/>
        </w:rPr>
      </w:pPr>
    </w:p>
    <w:p>
      <w:pPr>
        <w:rPr>
          <w:rFonts w:hint="eastAsia" w:ascii="宋体" w:hAnsi="宋体" w:cs="宋体"/>
          <w:kern w:val="0"/>
          <w:sz w:val="20"/>
          <w:szCs w:val="20"/>
        </w:rPr>
      </w:pPr>
    </w:p>
    <w:p>
      <w:pPr>
        <w:ind w:firstLine="6800" w:firstLineChars="3400"/>
        <w:jc w:val="right"/>
        <w:rPr>
          <w:rFonts w:hint="eastAsia" w:ascii="宋体" w:hAnsi="宋体" w:cs="宋体"/>
          <w:kern w:val="0"/>
          <w:sz w:val="20"/>
          <w:szCs w:val="20"/>
        </w:rPr>
      </w:pPr>
    </w:p>
    <w:p>
      <w:pPr>
        <w:ind w:firstLine="6800" w:firstLineChars="3400"/>
        <w:jc w:val="right"/>
        <w:rPr>
          <w:rFonts w:ascii="宋体" w:hAnsi="宋体" w:cs="宋体"/>
          <w:kern w:val="0"/>
          <w:sz w:val="20"/>
          <w:szCs w:val="20"/>
        </w:rPr>
      </w:pPr>
      <w:r>
        <w:rPr>
          <w:rFonts w:hint="eastAsia" w:ascii="宋体" w:hAnsi="宋体" w:cs="宋体"/>
          <w:kern w:val="0"/>
          <w:sz w:val="20"/>
          <w:szCs w:val="20"/>
        </w:rPr>
        <w:t>部门公开表4</w:t>
      </w:r>
    </w:p>
    <w:p>
      <w:pPr>
        <w:widowControl/>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安庆市人民代表大会常务委员会办公室</w:t>
      </w:r>
      <w:r>
        <w:rPr>
          <w:rFonts w:hint="eastAsia" w:ascii="华文中宋" w:hAnsi="华文中宋" w:eastAsia="华文中宋" w:cs="宋体"/>
          <w:b/>
          <w:bCs/>
          <w:kern w:val="0"/>
          <w:sz w:val="28"/>
          <w:szCs w:val="28"/>
        </w:rPr>
        <w:t>2021年财政拨款收支总表</w:t>
      </w:r>
    </w:p>
    <w:p>
      <w:pPr>
        <w:ind w:left="7400" w:hanging="7400" w:hangingChars="3700"/>
        <w:rPr>
          <w:rFonts w:hint="eastAsia" w:ascii="宋体" w:hAnsi="宋体" w:cs="宋体"/>
          <w:kern w:val="0"/>
          <w:sz w:val="20"/>
          <w:szCs w:val="20"/>
        </w:rPr>
      </w:pPr>
      <w:r>
        <w:rPr>
          <w:rFonts w:hint="eastAsia" w:ascii="宋体" w:hAnsi="宋体" w:cs="宋体"/>
          <w:kern w:val="0"/>
          <w:sz w:val="20"/>
          <w:szCs w:val="20"/>
        </w:rPr>
        <w:t xml:space="preserve">                                                                          单位：万元</w:t>
      </w:r>
    </w:p>
    <w:p>
      <w:pPr>
        <w:pStyle w:val="2"/>
      </w:pPr>
      <w:r>
        <w:drawing>
          <wp:inline distT="0" distB="0" distL="114300" distR="114300">
            <wp:extent cx="5273675" cy="5784215"/>
            <wp:effectExtent l="0" t="0" r="3175" b="698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73675" cy="5784215"/>
                    </a:xfrm>
                    <a:prstGeom prst="rect">
                      <a:avLst/>
                    </a:prstGeom>
                    <a:noFill/>
                    <a:ln>
                      <a:noFill/>
                    </a:ln>
                  </pic:spPr>
                </pic:pic>
              </a:graphicData>
            </a:graphic>
          </wp:inline>
        </w:drawing>
      </w:r>
    </w:p>
    <w:p>
      <w:pPr>
        <w:ind w:firstLine="6300" w:firstLineChars="3150"/>
        <w:rPr>
          <w:rFonts w:ascii="宋体" w:hAnsi="宋体" w:cs="宋体"/>
          <w:kern w:val="0"/>
          <w:sz w:val="20"/>
          <w:szCs w:val="20"/>
        </w:rPr>
      </w:pPr>
    </w:p>
    <w:p>
      <w:pPr>
        <w:rPr>
          <w:rFonts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rPr>
          <w:rFonts w:hint="eastAsia" w:ascii="宋体" w:hAnsi="宋体" w:cs="宋体"/>
          <w:kern w:val="0"/>
          <w:sz w:val="20"/>
          <w:szCs w:val="20"/>
        </w:rPr>
      </w:pPr>
    </w:p>
    <w:p>
      <w:pPr>
        <w:ind w:firstLine="6300" w:firstLineChars="3150"/>
        <w:jc w:val="right"/>
        <w:rPr>
          <w:rFonts w:hint="eastAsia" w:ascii="宋体" w:hAnsi="宋体" w:cs="宋体"/>
          <w:kern w:val="0"/>
          <w:sz w:val="20"/>
          <w:szCs w:val="20"/>
        </w:rPr>
      </w:pPr>
      <w:r>
        <w:rPr>
          <w:rFonts w:hint="eastAsia" w:ascii="宋体" w:hAnsi="宋体" w:cs="宋体"/>
          <w:kern w:val="0"/>
          <w:sz w:val="20"/>
          <w:szCs w:val="20"/>
        </w:rPr>
        <w:t>部门公开表5</w:t>
      </w:r>
    </w:p>
    <w:p>
      <w:pPr>
        <w:jc w:val="center"/>
        <w:rPr>
          <w:rFonts w:ascii="华文中宋" w:hAnsi="华文中宋" w:eastAsia="华文中宋" w:cs="宋体"/>
          <w:b/>
          <w:bCs/>
          <w:kern w:val="0"/>
          <w:sz w:val="24"/>
          <w:szCs w:val="24"/>
        </w:rPr>
      </w:pPr>
      <w:r>
        <w:rPr>
          <w:rFonts w:hint="eastAsia" w:ascii="华文中宋" w:hAnsi="华文中宋" w:eastAsia="华文中宋" w:cs="宋体"/>
          <w:b/>
          <w:bCs/>
          <w:kern w:val="0"/>
          <w:sz w:val="24"/>
          <w:szCs w:val="24"/>
          <w:lang w:val="en-US" w:eastAsia="zh-CN"/>
        </w:rPr>
        <w:t xml:space="preserve">  </w:t>
      </w:r>
      <w:r>
        <w:rPr>
          <w:rFonts w:hint="eastAsia" w:ascii="华文中宋" w:hAnsi="华文中宋" w:eastAsia="华文中宋" w:cs="宋体"/>
          <w:b/>
          <w:bCs/>
          <w:kern w:val="0"/>
          <w:sz w:val="24"/>
          <w:szCs w:val="24"/>
          <w:lang w:eastAsia="zh-CN"/>
        </w:rPr>
        <w:t>安庆市人民代表大会常务委员会办公室</w:t>
      </w:r>
      <w:r>
        <w:rPr>
          <w:rFonts w:hint="eastAsia" w:ascii="华文中宋" w:hAnsi="华文中宋" w:eastAsia="华文中宋" w:cs="宋体"/>
          <w:b/>
          <w:bCs/>
          <w:kern w:val="0"/>
          <w:sz w:val="24"/>
          <w:szCs w:val="24"/>
        </w:rPr>
        <w:t>2021年一般公共预算支出表</w:t>
      </w:r>
    </w:p>
    <w:p>
      <w:pPr>
        <w:ind w:left="7400" w:hanging="7400" w:hangingChars="3700"/>
        <w:rPr>
          <w:rFonts w:hint="eastAsia" w:ascii="宋体" w:hAnsi="宋体" w:cs="宋体"/>
          <w:kern w:val="0"/>
          <w:sz w:val="20"/>
          <w:szCs w:val="20"/>
        </w:rPr>
      </w:pPr>
      <w:r>
        <w:rPr>
          <w:rFonts w:hint="eastAsia" w:ascii="宋体" w:hAnsi="宋体" w:cs="宋体"/>
          <w:kern w:val="0"/>
          <w:sz w:val="20"/>
          <w:szCs w:val="20"/>
        </w:rPr>
        <w:t xml:space="preserve">                                                                          单位：万元</w:t>
      </w:r>
    </w:p>
    <w:p>
      <w:pPr>
        <w:pStyle w:val="2"/>
      </w:pPr>
      <w:r>
        <w:drawing>
          <wp:inline distT="0" distB="0" distL="114300" distR="114300">
            <wp:extent cx="5273040" cy="5151755"/>
            <wp:effectExtent l="0" t="0" r="3810"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5273040" cy="5151755"/>
                    </a:xfrm>
                    <a:prstGeom prst="rect">
                      <a:avLst/>
                    </a:prstGeom>
                    <a:noFill/>
                    <a:ln>
                      <a:noFill/>
                    </a:ln>
                  </pic:spPr>
                </pic:pic>
              </a:graphicData>
            </a:graphic>
          </wp:inline>
        </w:drawing>
      </w:r>
    </w:p>
    <w:p>
      <w:pPr>
        <w:ind w:left="7400" w:hanging="7400" w:hangingChars="3700"/>
        <w:rPr>
          <w:rFonts w:ascii="宋体" w:hAnsi="宋体" w:cs="宋体"/>
          <w:kern w:val="0"/>
          <w:sz w:val="20"/>
          <w:szCs w:val="20"/>
        </w:rPr>
      </w:pPr>
    </w:p>
    <w:p/>
    <w:p/>
    <w:p/>
    <w:p/>
    <w:p/>
    <w:p/>
    <w:p/>
    <w:p/>
    <w:p>
      <w:pPr>
        <w:jc w:val="both"/>
        <w:rPr>
          <w:rFonts w:ascii="宋体" w:hAnsi="宋体" w:cs="宋体"/>
          <w:kern w:val="0"/>
          <w:sz w:val="20"/>
          <w:szCs w:val="20"/>
        </w:rPr>
      </w:pPr>
    </w:p>
    <w:p>
      <w:pPr>
        <w:jc w:val="right"/>
        <w:rPr>
          <w:rFonts w:hint="eastAsia" w:ascii="宋体" w:hAnsi="宋体" w:cs="宋体"/>
          <w:kern w:val="0"/>
          <w:sz w:val="20"/>
          <w:szCs w:val="20"/>
        </w:rPr>
      </w:pPr>
      <w:r>
        <w:rPr>
          <w:rFonts w:hint="eastAsia" w:ascii="宋体" w:hAnsi="宋体" w:cs="宋体"/>
          <w:kern w:val="0"/>
          <w:sz w:val="20"/>
          <w:szCs w:val="20"/>
        </w:rPr>
        <w:t>部门公开表6</w:t>
      </w:r>
    </w:p>
    <w:p>
      <w:pPr>
        <w:ind w:firstLine="480" w:firstLineChars="200"/>
        <w:jc w:val="both"/>
        <w:rPr>
          <w:rFonts w:hint="eastAsia" w:ascii="华文中宋" w:hAnsi="华文中宋" w:eastAsia="华文中宋" w:cs="宋体"/>
          <w:b/>
          <w:bCs/>
          <w:kern w:val="0"/>
          <w:sz w:val="24"/>
          <w:szCs w:val="24"/>
          <w:lang w:eastAsia="zh-CN"/>
        </w:rPr>
      </w:pPr>
      <w:r>
        <w:rPr>
          <w:rFonts w:hint="eastAsia" w:ascii="华文中宋" w:hAnsi="华文中宋" w:eastAsia="华文中宋" w:cs="宋体"/>
          <w:b/>
          <w:bCs/>
          <w:kern w:val="0"/>
          <w:sz w:val="24"/>
          <w:szCs w:val="24"/>
          <w:lang w:eastAsia="zh-CN"/>
        </w:rPr>
        <w:t>安庆市人民代表大会常务委员会办公室2021年一般公共预算基本支出表</w:t>
      </w:r>
    </w:p>
    <w:p>
      <w:pPr>
        <w:ind w:left="7400" w:hanging="7400" w:hangingChars="3700"/>
        <w:jc w:val="right"/>
        <w:rPr>
          <w:rFonts w:hint="eastAsia" w:ascii="宋体" w:hAnsi="宋体" w:cs="宋体"/>
          <w:kern w:val="0"/>
          <w:sz w:val="20"/>
          <w:szCs w:val="20"/>
        </w:rPr>
      </w:pPr>
      <w:r>
        <w:rPr>
          <w:rFonts w:hint="eastAsia" w:ascii="宋体" w:hAnsi="宋体" w:cs="宋体"/>
          <w:kern w:val="0"/>
          <w:sz w:val="20"/>
          <w:szCs w:val="20"/>
        </w:rPr>
        <w:t xml:space="preserve">                                                                          单位：万元</w:t>
      </w:r>
    </w:p>
    <w:p>
      <w:pPr>
        <w:pStyle w:val="2"/>
      </w:pPr>
      <w:r>
        <w:drawing>
          <wp:inline distT="0" distB="0" distL="114300" distR="114300">
            <wp:extent cx="5272405" cy="6177280"/>
            <wp:effectExtent l="0" t="0" r="4445" b="1397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5272405" cy="6177280"/>
                    </a:xfrm>
                    <a:prstGeom prst="rect">
                      <a:avLst/>
                    </a:prstGeom>
                    <a:noFill/>
                    <a:ln>
                      <a:noFill/>
                    </a:ln>
                  </pic:spPr>
                </pic:pic>
              </a:graphicData>
            </a:graphic>
          </wp:inline>
        </w:drawing>
      </w:r>
    </w:p>
    <w:p/>
    <w:p/>
    <w:p/>
    <w:p/>
    <w:p/>
    <w:p/>
    <w:p/>
    <w:p/>
    <w:p>
      <w:pPr>
        <w:ind w:firstLine="7000" w:firstLineChars="3500"/>
        <w:jc w:val="right"/>
        <w:rPr>
          <w:rFonts w:ascii="宋体" w:hAnsi="宋体" w:cs="宋体"/>
          <w:kern w:val="0"/>
          <w:sz w:val="20"/>
          <w:szCs w:val="20"/>
        </w:rPr>
      </w:pPr>
      <w:r>
        <w:rPr>
          <w:rFonts w:hint="eastAsia" w:ascii="宋体" w:hAnsi="宋体" w:cs="宋体"/>
          <w:kern w:val="0"/>
          <w:sz w:val="20"/>
          <w:szCs w:val="20"/>
        </w:rPr>
        <w:t>部门公开表7</w:t>
      </w:r>
    </w:p>
    <w:p>
      <w:pPr>
        <w:widowControl/>
        <w:ind w:firstLine="120" w:firstLineChars="50"/>
        <w:jc w:val="center"/>
        <w:rPr>
          <w:rFonts w:ascii="华文中宋" w:hAnsi="华文中宋" w:eastAsia="华文中宋" w:cs="宋体"/>
          <w:b/>
          <w:bCs/>
          <w:kern w:val="0"/>
          <w:sz w:val="24"/>
          <w:szCs w:val="24"/>
        </w:rPr>
      </w:pPr>
      <w:r>
        <w:rPr>
          <w:rFonts w:hint="eastAsia" w:ascii="华文中宋" w:hAnsi="华文中宋" w:eastAsia="华文中宋" w:cs="宋体"/>
          <w:b/>
          <w:bCs/>
          <w:kern w:val="0"/>
          <w:sz w:val="24"/>
          <w:szCs w:val="24"/>
          <w:lang w:eastAsia="zh-CN"/>
        </w:rPr>
        <w:t>安庆市人民代表大会常务委员会办公室</w:t>
      </w:r>
      <w:r>
        <w:rPr>
          <w:rFonts w:hint="eastAsia" w:ascii="华文中宋" w:hAnsi="华文中宋" w:eastAsia="华文中宋" w:cs="宋体"/>
          <w:b/>
          <w:bCs/>
          <w:kern w:val="0"/>
          <w:sz w:val="24"/>
          <w:szCs w:val="24"/>
        </w:rPr>
        <w:t>2021年政府性基金预算支出表</w:t>
      </w:r>
    </w:p>
    <w:p>
      <w:pPr>
        <w:ind w:left="7400" w:hanging="7400" w:hangingChars="3700"/>
        <w:jc w:val="right"/>
        <w:rPr>
          <w:rFonts w:hint="eastAsia" w:ascii="宋体" w:hAnsi="宋体" w:cs="宋体"/>
          <w:kern w:val="0"/>
          <w:sz w:val="20"/>
          <w:szCs w:val="20"/>
        </w:rPr>
      </w:pPr>
      <w:r>
        <w:rPr>
          <w:rFonts w:hint="eastAsia" w:ascii="宋体" w:hAnsi="宋体" w:cs="宋体"/>
          <w:kern w:val="0"/>
          <w:sz w:val="20"/>
          <w:szCs w:val="20"/>
        </w:rPr>
        <w:t xml:space="preserve">                                                                          单位：万元</w:t>
      </w:r>
    </w:p>
    <w:p>
      <w:pPr>
        <w:pStyle w:val="2"/>
      </w:pPr>
      <w:r>
        <w:drawing>
          <wp:inline distT="0" distB="0" distL="114300" distR="114300">
            <wp:extent cx="5272405" cy="617220"/>
            <wp:effectExtent l="0" t="0" r="4445" b="1143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5272405" cy="617220"/>
                    </a:xfrm>
                    <a:prstGeom prst="rect">
                      <a:avLst/>
                    </a:prstGeom>
                    <a:noFill/>
                    <a:ln>
                      <a:noFill/>
                    </a:ln>
                  </pic:spPr>
                </pic:pic>
              </a:graphicData>
            </a:graphic>
          </wp:inline>
        </w:drawing>
      </w:r>
    </w:p>
    <w:p>
      <w:pPr>
        <w:pStyle w:val="5"/>
        <w:adjustRightInd w:val="0"/>
        <w:snapToGrid w:val="0"/>
        <w:spacing w:before="0" w:beforeAutospacing="0" w:after="0" w:afterAutospacing="0" w:line="360" w:lineRule="auto"/>
      </w:pPr>
      <w:r>
        <w:rPr>
          <w:rFonts w:hint="eastAsia"/>
          <w:lang w:eastAsia="zh-CN"/>
        </w:rPr>
        <w:t>备</w:t>
      </w:r>
      <w:r>
        <w:rPr>
          <w:rFonts w:hint="eastAsia"/>
        </w:rPr>
        <w:t>注：</w:t>
      </w:r>
      <w:r>
        <w:rPr>
          <w:rFonts w:hint="eastAsia"/>
          <w:lang w:eastAsia="zh-CN"/>
        </w:rPr>
        <w:t>安庆市安庆市人民代表大会常务委员会办公室</w:t>
      </w:r>
      <w:r>
        <w:rPr>
          <w:rFonts w:hint="eastAsia"/>
        </w:rPr>
        <w:t>没有政府性基金预算拨款收入，也没有政府性基金预算拨款安排的支出，故本表无数据。</w:t>
      </w:r>
    </w:p>
    <w:p/>
    <w:p/>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p>
    <w:p>
      <w:pPr>
        <w:pStyle w:val="5"/>
        <w:adjustRightInd w:val="0"/>
        <w:snapToGrid w:val="0"/>
        <w:spacing w:before="0" w:beforeAutospacing="0" w:after="0" w:afterAutospacing="0" w:line="360" w:lineRule="auto"/>
        <w:ind w:right="100" w:firstLine="2200" w:firstLineChars="1100"/>
        <w:jc w:val="right"/>
        <w:rPr>
          <w:rFonts w:hint="eastAsia"/>
          <w:sz w:val="20"/>
          <w:szCs w:val="20"/>
        </w:rPr>
      </w:pPr>
      <w:r>
        <w:rPr>
          <w:rFonts w:hint="eastAsia"/>
          <w:sz w:val="20"/>
          <w:szCs w:val="20"/>
        </w:rPr>
        <w:t xml:space="preserve"> 部门公开表8</w:t>
      </w:r>
    </w:p>
    <w:p>
      <w:pPr>
        <w:pStyle w:val="5"/>
        <w:adjustRightInd w:val="0"/>
        <w:snapToGrid w:val="0"/>
        <w:spacing w:before="0" w:beforeAutospacing="0" w:after="0" w:afterAutospacing="0" w:line="360" w:lineRule="auto"/>
        <w:ind w:right="100" w:firstLine="480" w:firstLineChars="200"/>
        <w:jc w:val="both"/>
        <w:rPr>
          <w:rFonts w:hint="eastAsia" w:ascii="华文中宋" w:hAnsi="华文中宋" w:eastAsia="华文中宋" w:cs="宋体"/>
          <w:b/>
          <w:bCs/>
          <w:kern w:val="0"/>
          <w:sz w:val="24"/>
          <w:szCs w:val="24"/>
          <w:lang w:val="en-US" w:eastAsia="zh-CN"/>
        </w:rPr>
      </w:pPr>
      <w:r>
        <w:rPr>
          <w:rFonts w:hint="eastAsia" w:ascii="华文中宋" w:hAnsi="华文中宋" w:eastAsia="华文中宋" w:cs="宋体"/>
          <w:b/>
          <w:bCs/>
          <w:kern w:val="0"/>
          <w:sz w:val="24"/>
          <w:szCs w:val="24"/>
          <w:lang w:eastAsia="zh-CN"/>
        </w:rPr>
        <w:t>安庆市人民代表大会常务委员会办公室</w:t>
      </w:r>
      <w:r>
        <w:rPr>
          <w:rFonts w:hint="eastAsia" w:ascii="华文中宋" w:hAnsi="华文中宋" w:eastAsia="华文中宋" w:cs="宋体"/>
          <w:b/>
          <w:bCs/>
          <w:kern w:val="0"/>
          <w:sz w:val="24"/>
          <w:szCs w:val="24"/>
          <w:lang w:val="en-US" w:eastAsia="zh-CN"/>
        </w:rPr>
        <w:t>2021年国有资本经营预算支出表</w:t>
      </w:r>
    </w:p>
    <w:p>
      <w:pPr>
        <w:pStyle w:val="5"/>
        <w:adjustRightInd w:val="0"/>
        <w:snapToGrid w:val="0"/>
        <w:spacing w:before="0" w:beforeAutospacing="0" w:after="0" w:afterAutospacing="0" w:line="360" w:lineRule="auto"/>
        <w:ind w:right="100" w:firstLine="480" w:firstLineChars="200"/>
        <w:jc w:val="right"/>
        <w:rPr>
          <w:rFonts w:hint="eastAsia"/>
          <w:sz w:val="20"/>
          <w:szCs w:val="20"/>
          <w:lang w:val="en-US" w:eastAsia="zh-CN"/>
        </w:rPr>
      </w:pPr>
      <w:r>
        <w:rPr>
          <w:rFonts w:hint="eastAsia" w:ascii="华文中宋" w:hAnsi="华文中宋" w:eastAsia="华文中宋" w:cs="宋体"/>
          <w:b/>
          <w:bCs/>
          <w:kern w:val="0"/>
          <w:sz w:val="24"/>
          <w:szCs w:val="24"/>
          <w:lang w:val="en-US" w:eastAsia="zh-CN"/>
        </w:rPr>
        <w:t xml:space="preserve">                                                       </w:t>
      </w:r>
      <w:r>
        <w:rPr>
          <w:rFonts w:hint="eastAsia"/>
          <w:sz w:val="20"/>
          <w:szCs w:val="20"/>
          <w:lang w:val="en-US" w:eastAsia="zh-CN"/>
        </w:rPr>
        <w:t>单位：万元</w:t>
      </w:r>
    </w:p>
    <w:p>
      <w:pPr>
        <w:pStyle w:val="5"/>
        <w:adjustRightInd w:val="0"/>
        <w:snapToGrid w:val="0"/>
        <w:spacing w:before="0" w:beforeAutospacing="0" w:after="0" w:afterAutospacing="0" w:line="360" w:lineRule="auto"/>
        <w:ind w:right="100"/>
        <w:jc w:val="left"/>
      </w:pPr>
      <w:r>
        <w:drawing>
          <wp:inline distT="0" distB="0" distL="114300" distR="114300">
            <wp:extent cx="5314950" cy="1018540"/>
            <wp:effectExtent l="0" t="0" r="0" b="1016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a:stretch>
                      <a:fillRect/>
                    </a:stretch>
                  </pic:blipFill>
                  <pic:spPr>
                    <a:xfrm>
                      <a:off x="0" y="0"/>
                      <a:ext cx="5314950" cy="1018540"/>
                    </a:xfrm>
                    <a:prstGeom prst="rect">
                      <a:avLst/>
                    </a:prstGeom>
                    <a:noFill/>
                    <a:ln>
                      <a:noFill/>
                    </a:ln>
                  </pic:spPr>
                </pic:pic>
              </a:graphicData>
            </a:graphic>
          </wp:inline>
        </w:drawing>
      </w:r>
    </w:p>
    <w:p>
      <w:pPr>
        <w:pStyle w:val="5"/>
        <w:adjustRightInd w:val="0"/>
        <w:snapToGrid w:val="0"/>
        <w:spacing w:before="0" w:beforeAutospacing="0" w:after="0" w:afterAutospacing="0" w:line="360" w:lineRule="auto"/>
        <w:ind w:right="100"/>
        <w:jc w:val="left"/>
        <w:rPr>
          <w:rFonts w:hint="eastAsia" w:eastAsia="宋体"/>
          <w:lang w:val="en-US" w:eastAsia="zh-CN"/>
        </w:rPr>
      </w:pPr>
      <w:r>
        <w:rPr>
          <w:rFonts w:hint="eastAsia" w:cs="宋体"/>
          <w:kern w:val="0"/>
          <w:sz w:val="24"/>
          <w:lang w:eastAsia="zh-CN"/>
        </w:rPr>
        <w:t>备注</w:t>
      </w:r>
      <w:r>
        <w:rPr>
          <w:rFonts w:hint="eastAsia" w:ascii="宋体" w:hAnsi="宋体" w:cs="宋体"/>
          <w:kern w:val="0"/>
          <w:sz w:val="24"/>
        </w:rPr>
        <w:t>：</w:t>
      </w:r>
      <w:r>
        <w:rPr>
          <w:rFonts w:hint="eastAsia" w:ascii="宋体" w:hAnsi="宋体" w:cs="宋体"/>
          <w:kern w:val="0"/>
          <w:sz w:val="24"/>
          <w:lang w:eastAsia="zh-CN"/>
        </w:rPr>
        <w:t>安庆市人民代表大会常务委员会办公室</w:t>
      </w:r>
      <w:r>
        <w:rPr>
          <w:rFonts w:hint="eastAsia" w:ascii="宋体" w:hAnsi="宋体" w:cs="宋体"/>
          <w:kern w:val="0"/>
          <w:sz w:val="24"/>
        </w:rPr>
        <w:t>没有国有资本经营预算拨款收入，也没有国有资本经营预算拨款安排的支出，故本表无数据</w:t>
      </w:r>
      <w:r>
        <w:rPr>
          <w:rFonts w:hint="eastAsia" w:cs="宋体"/>
          <w:kern w:val="0"/>
          <w:sz w:val="24"/>
          <w:lang w:eastAsia="zh-CN"/>
        </w:rPr>
        <w:t>。</w:t>
      </w:r>
    </w:p>
    <w:p>
      <w:pPr>
        <w:pStyle w:val="5"/>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ind w:firstLine="9500" w:firstLineChars="4750"/>
        <w:jc w:val="right"/>
        <w:rPr>
          <w:rFonts w:ascii="宋体" w:hAnsi="宋体" w:cs="宋体"/>
          <w:kern w:val="0"/>
          <w:sz w:val="20"/>
          <w:szCs w:val="20"/>
        </w:rPr>
      </w:pPr>
      <w:r>
        <w:rPr>
          <w:rFonts w:hint="eastAsia" w:ascii="宋体" w:hAnsi="宋体" w:cs="宋体"/>
          <w:kern w:val="0"/>
          <w:sz w:val="20"/>
          <w:szCs w:val="20"/>
        </w:rPr>
        <w:t xml:space="preserve">                      部门公开表9</w:t>
      </w:r>
    </w:p>
    <w:p>
      <w:pPr>
        <w:widowControl/>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安庆市人民代表大会常务委员会办公室</w:t>
      </w:r>
      <w:r>
        <w:rPr>
          <w:rFonts w:hint="eastAsia" w:ascii="华文中宋" w:hAnsi="华文中宋" w:eastAsia="华文中宋" w:cs="宋体"/>
          <w:b/>
          <w:bCs/>
          <w:kern w:val="0"/>
          <w:sz w:val="30"/>
          <w:szCs w:val="30"/>
        </w:rPr>
        <w:t>2021年项目支出表</w:t>
      </w:r>
    </w:p>
    <w:p>
      <w:pPr>
        <w:ind w:left="7400" w:hanging="7400" w:hangingChars="3700"/>
      </w:pPr>
      <w:r>
        <w:rPr>
          <w:rFonts w:hint="eastAsia" w:ascii="宋体" w:hAnsi="宋体" w:cs="宋体"/>
          <w:kern w:val="0"/>
          <w:sz w:val="20"/>
          <w:szCs w:val="20"/>
        </w:rPr>
        <w:t xml:space="preserve">                                                                         </w:t>
      </w:r>
      <w:r>
        <w:rPr>
          <w:rFonts w:hint="eastAsia" w:ascii="宋体" w:hAnsi="宋体" w:cs="宋体"/>
          <w:kern w:val="0"/>
          <w:sz w:val="20"/>
          <w:szCs w:val="20"/>
          <w:lang w:eastAsia="zh-CN"/>
        </w:rPr>
        <w:t>单位：万元</w:t>
      </w:r>
      <w:r>
        <w:rPr>
          <w:rFonts w:hint="eastAsia" w:ascii="宋体" w:hAnsi="宋体" w:cs="宋体"/>
          <w:kern w:val="0"/>
          <w:sz w:val="20"/>
          <w:szCs w:val="20"/>
        </w:rPr>
        <w:t xml:space="preserve">                                         </w:t>
      </w:r>
    </w:p>
    <w:p>
      <w:pPr>
        <w:pStyle w:val="5"/>
        <w:wordWrap w:val="0"/>
        <w:adjustRightInd w:val="0"/>
        <w:snapToGrid w:val="0"/>
        <w:spacing w:before="0" w:beforeAutospacing="0" w:after="0" w:afterAutospacing="0" w:line="360" w:lineRule="auto"/>
        <w:jc w:val="both"/>
        <w:rPr>
          <w:rFonts w:hint="eastAsia"/>
          <w:sz w:val="20"/>
          <w:szCs w:val="20"/>
        </w:rPr>
      </w:pPr>
      <w:r>
        <w:rPr>
          <w:bdr w:val="single" w:sz="4" w:space="0"/>
        </w:rPr>
        <w:drawing>
          <wp:inline distT="0" distB="0" distL="114300" distR="114300">
            <wp:extent cx="5276850" cy="3996055"/>
            <wp:effectExtent l="0" t="0" r="0" b="444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3"/>
                    <a:stretch>
                      <a:fillRect/>
                    </a:stretch>
                  </pic:blipFill>
                  <pic:spPr>
                    <a:xfrm>
                      <a:off x="0" y="0"/>
                      <a:ext cx="5276850" cy="3996055"/>
                    </a:xfrm>
                    <a:prstGeom prst="rect">
                      <a:avLst/>
                    </a:prstGeom>
                    <a:noFill/>
                    <a:ln>
                      <a:noFill/>
                    </a:ln>
                  </pic:spPr>
                </pic:pic>
              </a:graphicData>
            </a:graphic>
          </wp:inline>
        </w:drawing>
      </w: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p>
    <w:p>
      <w:pPr>
        <w:pStyle w:val="5"/>
        <w:wordWrap w:val="0"/>
        <w:adjustRightInd w:val="0"/>
        <w:snapToGrid w:val="0"/>
        <w:spacing w:before="0" w:beforeAutospacing="0" w:after="0" w:afterAutospacing="0" w:line="360" w:lineRule="auto"/>
        <w:jc w:val="both"/>
        <w:rPr>
          <w:rFonts w:hint="eastAsia"/>
          <w:sz w:val="20"/>
          <w:szCs w:val="20"/>
        </w:rPr>
      </w:pPr>
      <w:r>
        <w:rPr>
          <w:rFonts w:hint="eastAsia"/>
          <w:sz w:val="20"/>
          <w:szCs w:val="20"/>
        </w:rPr>
        <w:t xml:space="preserve">     </w:t>
      </w:r>
    </w:p>
    <w:p>
      <w:pPr>
        <w:pStyle w:val="5"/>
        <w:wordWrap w:val="0"/>
        <w:adjustRightInd w:val="0"/>
        <w:snapToGrid w:val="0"/>
        <w:spacing w:before="0" w:beforeAutospacing="0" w:after="0" w:afterAutospacing="0" w:line="360" w:lineRule="auto"/>
        <w:jc w:val="both"/>
        <w:rPr>
          <w:rFonts w:hint="eastAsia"/>
          <w:sz w:val="20"/>
          <w:szCs w:val="20"/>
        </w:rPr>
      </w:pPr>
      <w:r>
        <w:rPr>
          <w:rFonts w:hint="eastAsia"/>
          <w:sz w:val="20"/>
          <w:szCs w:val="20"/>
        </w:rPr>
        <w:t xml:space="preserve">  </w:t>
      </w:r>
    </w:p>
    <w:p>
      <w:pPr>
        <w:pStyle w:val="5"/>
        <w:wordWrap w:val="0"/>
        <w:adjustRightInd w:val="0"/>
        <w:snapToGrid w:val="0"/>
        <w:spacing w:before="0" w:beforeAutospacing="0" w:after="0" w:afterAutospacing="0" w:line="360" w:lineRule="auto"/>
        <w:jc w:val="both"/>
        <w:rPr>
          <w:rFonts w:hint="eastAsia"/>
          <w:sz w:val="20"/>
          <w:szCs w:val="20"/>
        </w:rPr>
      </w:pPr>
    </w:p>
    <w:p>
      <w:pPr>
        <w:widowControl/>
        <w:jc w:val="right"/>
        <w:rPr>
          <w:rFonts w:hint="eastAsia"/>
          <w:sz w:val="20"/>
          <w:szCs w:val="20"/>
        </w:rPr>
      </w:pPr>
      <w:r>
        <w:rPr>
          <w:rFonts w:hint="eastAsia"/>
          <w:sz w:val="20"/>
          <w:szCs w:val="20"/>
          <w:lang w:val="en-US" w:eastAsia="zh-CN"/>
        </w:rPr>
        <w:t xml:space="preserve">                                                                 </w:t>
      </w:r>
      <w:r>
        <w:rPr>
          <w:rFonts w:hint="eastAsia"/>
          <w:sz w:val="20"/>
          <w:szCs w:val="20"/>
        </w:rPr>
        <w:t>部门公开表10</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安庆市人民代表大会常务委员会办公室</w:t>
      </w:r>
      <w:r>
        <w:rPr>
          <w:rFonts w:hint="eastAsia" w:ascii="华文中宋" w:hAnsi="华文中宋" w:eastAsia="华文中宋" w:cs="宋体"/>
          <w:b/>
          <w:bCs/>
          <w:kern w:val="0"/>
          <w:sz w:val="28"/>
          <w:szCs w:val="28"/>
        </w:rPr>
        <w:t>2021年政府采购支出表</w:t>
      </w:r>
    </w:p>
    <w:p>
      <w:pPr>
        <w:pStyle w:val="5"/>
        <w:wordWrap w:val="0"/>
        <w:adjustRightInd w:val="0"/>
        <w:snapToGrid w:val="0"/>
        <w:spacing w:before="0" w:beforeAutospacing="0" w:after="0" w:afterAutospacing="0" w:line="360" w:lineRule="auto"/>
        <w:jc w:val="right"/>
        <w:rPr>
          <w:rFonts w:hint="eastAsia"/>
          <w:sz w:val="20"/>
          <w:szCs w:val="20"/>
          <w:lang w:eastAsia="zh-CN"/>
        </w:rPr>
      </w:pPr>
      <w:r>
        <w:rPr>
          <w:rFonts w:hint="eastAsia"/>
          <w:sz w:val="20"/>
          <w:szCs w:val="20"/>
          <w:lang w:eastAsia="zh-CN"/>
        </w:rPr>
        <w:t>单位：万元</w:t>
      </w:r>
    </w:p>
    <w:p>
      <w:pPr>
        <w:pStyle w:val="5"/>
        <w:wordWrap/>
        <w:adjustRightInd w:val="0"/>
        <w:snapToGrid w:val="0"/>
        <w:spacing w:before="0" w:beforeAutospacing="0" w:after="0" w:afterAutospacing="0" w:line="360" w:lineRule="auto"/>
        <w:jc w:val="left"/>
        <w:rPr>
          <w:rFonts w:hint="eastAsia"/>
          <w:sz w:val="20"/>
          <w:szCs w:val="20"/>
          <w:lang w:eastAsia="zh-CN"/>
        </w:rPr>
      </w:pPr>
      <w:r>
        <w:drawing>
          <wp:inline distT="0" distB="0" distL="114300" distR="114300">
            <wp:extent cx="5277485" cy="1083310"/>
            <wp:effectExtent l="0" t="0" r="18415" b="254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4"/>
                    <a:stretch>
                      <a:fillRect/>
                    </a:stretch>
                  </pic:blipFill>
                  <pic:spPr>
                    <a:xfrm>
                      <a:off x="0" y="0"/>
                      <a:ext cx="5277485" cy="1083310"/>
                    </a:xfrm>
                    <a:prstGeom prst="rect">
                      <a:avLst/>
                    </a:prstGeom>
                    <a:noFill/>
                    <a:ln>
                      <a:noFill/>
                    </a:ln>
                  </pic:spPr>
                </pic:pic>
              </a:graphicData>
            </a:graphic>
          </wp:inline>
        </w:drawing>
      </w:r>
    </w:p>
    <w:p>
      <w:pPr>
        <w:pStyle w:val="5"/>
        <w:adjustRightInd w:val="0"/>
        <w:snapToGrid w:val="0"/>
        <w:spacing w:before="0" w:beforeAutospacing="0" w:after="0" w:afterAutospacing="0" w:line="360" w:lineRule="auto"/>
        <w:jc w:val="both"/>
        <w:rPr>
          <w:rFonts w:hint="eastAsia"/>
        </w:rPr>
      </w:pPr>
      <w:r>
        <w:rPr>
          <w:rFonts w:hint="eastAsia"/>
          <w:lang w:eastAsia="zh-CN"/>
        </w:rPr>
        <w:t>备</w:t>
      </w:r>
      <w:r>
        <w:rPr>
          <w:rFonts w:hint="eastAsia"/>
        </w:rPr>
        <w:t>注：</w:t>
      </w:r>
      <w:r>
        <w:rPr>
          <w:rFonts w:hint="eastAsia" w:ascii="宋体" w:hAnsi="宋体" w:cs="宋体"/>
          <w:kern w:val="0"/>
          <w:sz w:val="24"/>
          <w:lang w:eastAsia="zh-CN"/>
        </w:rPr>
        <w:t>安庆市人民代表大会常务委员会办公室</w:t>
      </w:r>
      <w:r>
        <w:rPr>
          <w:rFonts w:hint="eastAsia"/>
        </w:rPr>
        <w:t>没有使用一般公共预算拨款、政府性基金预算拨款、国有资本经营预算拨款、财政专户管理资金和单位资金安排的政府采购支出，故本表无数据。</w:t>
      </w:r>
    </w:p>
    <w:p>
      <w:pPr>
        <w:pStyle w:val="5"/>
        <w:adjustRightInd w:val="0"/>
        <w:snapToGrid w:val="0"/>
        <w:spacing w:before="0" w:beforeAutospacing="0" w:after="0" w:afterAutospacing="0" w:line="360" w:lineRule="auto"/>
        <w:jc w:val="both"/>
        <w:rPr>
          <w:rFonts w:hint="eastAsia"/>
        </w:rPr>
      </w:pPr>
    </w:p>
    <w:p>
      <w:pPr>
        <w:pStyle w:val="5"/>
        <w:adjustRightInd w:val="0"/>
        <w:snapToGrid w:val="0"/>
        <w:spacing w:before="0" w:beforeAutospacing="0" w:after="0" w:afterAutospacing="0" w:line="360" w:lineRule="auto"/>
        <w:jc w:val="both"/>
        <w:rPr>
          <w:rFonts w:hint="eastAsia"/>
        </w:rPr>
      </w:pPr>
    </w:p>
    <w:p>
      <w:pPr>
        <w:pStyle w:val="5"/>
        <w:adjustRightInd w:val="0"/>
        <w:snapToGrid w:val="0"/>
        <w:spacing w:before="0" w:beforeAutospacing="0" w:after="0" w:afterAutospacing="0" w:line="360" w:lineRule="auto"/>
        <w:jc w:val="both"/>
        <w:rPr>
          <w:rFonts w:hint="eastAsia"/>
        </w:rPr>
      </w:pPr>
    </w:p>
    <w:p>
      <w:pPr>
        <w:pStyle w:val="5"/>
        <w:adjustRightInd w:val="0"/>
        <w:snapToGrid w:val="0"/>
        <w:spacing w:before="0" w:beforeAutospacing="0" w:after="0" w:afterAutospacing="0" w:line="360" w:lineRule="auto"/>
        <w:jc w:val="both"/>
        <w:rPr>
          <w:rFonts w:hint="eastAsia"/>
        </w:rPr>
      </w:pPr>
    </w:p>
    <w:p>
      <w:pPr>
        <w:pStyle w:val="5"/>
        <w:adjustRightInd w:val="0"/>
        <w:snapToGrid w:val="0"/>
        <w:spacing w:before="0" w:beforeAutospacing="0" w:after="0" w:afterAutospacing="0" w:line="360" w:lineRule="auto"/>
        <w:jc w:val="both"/>
        <w:rPr>
          <w:rFonts w:hint="eastAsia"/>
        </w:rPr>
      </w:pPr>
    </w:p>
    <w:p>
      <w:pPr>
        <w:pStyle w:val="5"/>
        <w:wordWrap w:val="0"/>
        <w:adjustRightInd w:val="0"/>
        <w:snapToGrid w:val="0"/>
        <w:spacing w:before="0" w:beforeAutospacing="0" w:after="0" w:afterAutospacing="0" w:line="360" w:lineRule="auto"/>
        <w:jc w:val="right"/>
        <w:rPr>
          <w:rFonts w:hint="eastAsia"/>
          <w:sz w:val="20"/>
          <w:szCs w:val="20"/>
        </w:rPr>
      </w:pPr>
      <w:r>
        <w:rPr>
          <w:rFonts w:hint="eastAsia"/>
          <w:sz w:val="20"/>
          <w:szCs w:val="20"/>
        </w:rPr>
        <w:t xml:space="preserve">   部门公开表11</w:t>
      </w:r>
    </w:p>
    <w:p>
      <w:pPr>
        <w:pStyle w:val="5"/>
        <w:wordWrap/>
        <w:adjustRightInd w:val="0"/>
        <w:snapToGrid w:val="0"/>
        <w:spacing w:before="0" w:beforeAutospacing="0" w:after="0" w:afterAutospacing="0" w:line="360" w:lineRule="auto"/>
        <w:jc w:val="center"/>
        <w:rPr>
          <w:rFonts w:hint="eastAsia"/>
          <w:sz w:val="20"/>
          <w:szCs w:val="20"/>
        </w:rPr>
      </w:pPr>
      <w:r>
        <w:rPr>
          <w:rFonts w:hint="eastAsia" w:ascii="华文中宋" w:hAnsi="华文中宋" w:eastAsia="华文中宋" w:cs="宋体"/>
          <w:b/>
          <w:bCs/>
          <w:kern w:val="0"/>
          <w:sz w:val="24"/>
          <w:szCs w:val="24"/>
          <w:lang w:eastAsia="zh-CN"/>
        </w:rPr>
        <w:t>安庆市人民代表大会常务委员会办公室2021年政府购买服务支出表</w:t>
      </w:r>
      <w:r>
        <w:rPr>
          <w:rFonts w:hint="eastAsia" w:ascii="华文中宋" w:hAnsi="华文中宋" w:eastAsia="华文中宋" w:cs="宋体"/>
          <w:b/>
          <w:bCs/>
          <w:kern w:val="0"/>
          <w:sz w:val="24"/>
          <w:szCs w:val="24"/>
          <w:lang w:val="en-US" w:eastAsia="zh-CN"/>
        </w:rPr>
        <w:t xml:space="preserve"> </w:t>
      </w:r>
      <w:r>
        <w:rPr>
          <w:rFonts w:hint="eastAsia" w:cs="宋体"/>
          <w:kern w:val="0"/>
          <w:sz w:val="20"/>
          <w:szCs w:val="20"/>
          <w:lang w:val="en-US" w:eastAsia="zh-CN"/>
        </w:rPr>
        <w:t xml:space="preserve">                                                                                                                  </w:t>
      </w:r>
      <w:r>
        <w:rPr>
          <w:rFonts w:hint="eastAsia" w:ascii="宋体" w:hAnsi="宋体" w:cs="宋体"/>
          <w:kern w:val="0"/>
          <w:sz w:val="20"/>
          <w:szCs w:val="20"/>
        </w:rPr>
        <w:t>单位：万元</w:t>
      </w:r>
    </w:p>
    <w:p>
      <w:pPr>
        <w:pStyle w:val="5"/>
        <w:adjustRightInd w:val="0"/>
        <w:snapToGrid w:val="0"/>
        <w:spacing w:before="0" w:beforeAutospacing="0" w:after="0" w:afterAutospacing="0" w:line="360" w:lineRule="auto"/>
        <w:jc w:val="both"/>
        <w:rPr>
          <w:rFonts w:hint="eastAsia"/>
        </w:rPr>
      </w:pPr>
      <w:r>
        <w:drawing>
          <wp:inline distT="0" distB="0" distL="114300" distR="114300">
            <wp:extent cx="5267325" cy="1009650"/>
            <wp:effectExtent l="0" t="0" r="9525"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5"/>
                    <a:stretch>
                      <a:fillRect/>
                    </a:stretch>
                  </pic:blipFill>
                  <pic:spPr>
                    <a:xfrm>
                      <a:off x="0" y="0"/>
                      <a:ext cx="5267325" cy="1009650"/>
                    </a:xfrm>
                    <a:prstGeom prst="rect">
                      <a:avLst/>
                    </a:prstGeom>
                    <a:noFill/>
                    <a:ln>
                      <a:noFill/>
                    </a:ln>
                  </pic:spPr>
                </pic:pic>
              </a:graphicData>
            </a:graphic>
          </wp:inline>
        </w:drawing>
      </w:r>
    </w:p>
    <w:p/>
    <w:p>
      <w:pP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备注：安庆市人民代表大会常务委员会办公室没有使用一般公共预算拨款、政府性基金预算拨款、国有资本经营预算拨款、财政专户管理资金和单位资金安排的政府购买服务支出，故本表无数据。</w:t>
      </w:r>
    </w:p>
    <w:p/>
    <w:p/>
    <w:p/>
    <w:p/>
    <w:p/>
    <w:p/>
    <w:p/>
    <w:p/>
    <w:p>
      <w:pPr>
        <w:sectPr>
          <w:pgSz w:w="11906" w:h="16838"/>
          <w:pgMar w:top="1440" w:right="1797" w:bottom="1440" w:left="1797" w:header="851" w:footer="992" w:gutter="0"/>
          <w:cols w:space="425" w:num="1"/>
          <w:docGrid w:type="lines" w:linePitch="312" w:charSpace="0"/>
        </w:sectPr>
      </w:pPr>
    </w:p>
    <w:p>
      <w:pPr>
        <w:pStyle w:val="5"/>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 2021年部门预算情况说明</w:t>
      </w:r>
    </w:p>
    <w:p>
      <w:pPr>
        <w:pStyle w:val="5"/>
        <w:adjustRightInd w:val="0"/>
        <w:snapToGrid w:val="0"/>
        <w:spacing w:before="0" w:beforeAutospacing="0" w:after="0" w:afterAutospacing="0" w:line="600" w:lineRule="exact"/>
        <w:rPr>
          <w:rFonts w:ascii="黑体" w:hAnsi="黑体" w:eastAsia="黑体"/>
          <w:bCs/>
          <w:sz w:val="32"/>
          <w:szCs w:val="32"/>
        </w:rPr>
      </w:pP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一、关于2021年收支总表的说明</w:t>
      </w:r>
    </w:p>
    <w:p>
      <w:pPr>
        <w:pStyle w:val="5"/>
        <w:adjustRightInd w:val="0"/>
        <w:snapToGrid w:val="0"/>
        <w:spacing w:before="0" w:beforeAutospacing="0" w:after="0" w:afterAutospacing="0" w:line="600" w:lineRule="exact"/>
        <w:ind w:firstLine="627" w:firstLineChars="196"/>
        <w:jc w:val="both"/>
        <w:rPr>
          <w:rFonts w:ascii="仿宋_GB2312" w:hAnsi="仿宋" w:eastAsia="楷体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安庆市人民代表大会常务委员会办公室</w:t>
      </w:r>
      <w:r>
        <w:rPr>
          <w:rFonts w:hint="eastAsia" w:ascii="仿宋_GB2312" w:hAnsi="仿宋" w:eastAsia="仿宋_GB2312"/>
          <w:sz w:val="32"/>
          <w:szCs w:val="32"/>
        </w:rPr>
        <w:t>所有收入和支出均纳入部</w:t>
      </w:r>
      <w:r>
        <w:rPr>
          <w:rFonts w:hint="eastAsia" w:ascii="仿宋_GB2312" w:hAnsi="仿宋" w:eastAsia="仿宋_GB2312"/>
          <w:sz w:val="32"/>
          <w:szCs w:val="32"/>
          <w:lang w:eastAsia="zh-CN"/>
        </w:rPr>
        <w:t>门</w:t>
      </w:r>
      <w:r>
        <w:rPr>
          <w:rFonts w:hint="eastAsia" w:ascii="仿宋_GB2312" w:hAnsi="仿宋" w:eastAsia="仿宋_GB2312"/>
          <w:sz w:val="32"/>
          <w:szCs w:val="32"/>
        </w:rPr>
        <w:t>预算管理。</w:t>
      </w:r>
      <w:r>
        <w:rPr>
          <w:rFonts w:hint="eastAsia" w:ascii="仿宋_GB2312" w:hAnsi="仿宋" w:eastAsia="仿宋_GB2312"/>
          <w:sz w:val="32"/>
          <w:szCs w:val="32"/>
          <w:lang w:eastAsia="zh-CN"/>
        </w:rPr>
        <w:t>安庆市人民代表大会常务委员会办公室</w:t>
      </w:r>
      <w:r>
        <w:rPr>
          <w:rFonts w:hint="eastAsia" w:ascii="仿宋_GB2312" w:hAnsi="仿宋" w:eastAsia="仿宋_GB2312"/>
          <w:sz w:val="32"/>
          <w:szCs w:val="32"/>
        </w:rPr>
        <w:t>2021年收支总预算</w:t>
      </w:r>
      <w:r>
        <w:rPr>
          <w:rFonts w:hint="eastAsia" w:ascii="仿宋_GB2312" w:hAnsi="仿宋" w:eastAsia="仿宋_GB2312"/>
          <w:sz w:val="32"/>
          <w:szCs w:val="32"/>
          <w:lang w:val="en-US" w:eastAsia="zh-CN"/>
        </w:rPr>
        <w:t>1466.14</w:t>
      </w:r>
      <w:r>
        <w:rPr>
          <w:rFonts w:hint="eastAsia" w:ascii="仿宋_GB2312" w:hAnsi="仿宋" w:eastAsia="仿宋_GB2312"/>
          <w:sz w:val="32"/>
          <w:szCs w:val="32"/>
        </w:rPr>
        <w:t>万元，收入</w:t>
      </w:r>
      <w:r>
        <w:rPr>
          <w:rFonts w:hint="eastAsia" w:ascii="仿宋_GB2312" w:hAnsi="仿宋" w:eastAsia="仿宋_GB2312"/>
          <w:sz w:val="32"/>
          <w:szCs w:val="32"/>
          <w:lang w:eastAsia="zh-CN"/>
        </w:rPr>
        <w:t>全部是</w:t>
      </w:r>
      <w:r>
        <w:rPr>
          <w:rFonts w:hint="eastAsia" w:ascii="仿宋_GB2312" w:hAnsi="仿宋" w:eastAsia="仿宋_GB2312"/>
          <w:sz w:val="32"/>
          <w:szCs w:val="32"/>
        </w:rPr>
        <w:t>一般公共预算拨款收入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支出包括：一般公共服务、社会保障和就业支出、卫生健康支出、住房保障支出。</w:t>
      </w:r>
    </w:p>
    <w:p>
      <w:pPr>
        <w:pStyle w:val="5"/>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二、关于2021年收入总表的说明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安庆市人民代表大会常务委员会办公室</w:t>
      </w:r>
      <w:r>
        <w:rPr>
          <w:rFonts w:hint="eastAsia" w:ascii="仿宋_GB2312" w:hAnsi="仿宋" w:eastAsia="仿宋_GB2312"/>
          <w:sz w:val="32"/>
          <w:szCs w:val="32"/>
        </w:rPr>
        <w:t>2021年收入预算</w:t>
      </w:r>
      <w:r>
        <w:rPr>
          <w:rFonts w:hint="eastAsia" w:ascii="仿宋_GB2312" w:hAnsi="仿宋" w:eastAsia="仿宋_GB2312"/>
          <w:sz w:val="32"/>
          <w:szCs w:val="32"/>
          <w:lang w:val="en-US" w:eastAsia="zh-CN"/>
        </w:rPr>
        <w:t>1466.14</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1466.14</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00" w:lineRule="exact"/>
        <w:ind w:firstLine="640" w:firstLineChars="200"/>
        <w:rPr>
          <w:rFonts w:hint="eastAsia" w:ascii="仿宋_GB2312" w:hAnsi="仿宋" w:eastAsia="仿宋_GB2312" w:cs="宋体"/>
          <w:kern w:val="0"/>
          <w:sz w:val="32"/>
          <w:szCs w:val="32"/>
          <w:lang w:eastAsia="zh-CN"/>
        </w:rPr>
      </w:pPr>
      <w:r>
        <w:rPr>
          <w:rFonts w:hint="eastAsia" w:ascii="仿宋_GB2312" w:hAnsi="仿宋" w:eastAsia="仿宋_GB2312"/>
          <w:sz w:val="32"/>
          <w:szCs w:val="32"/>
          <w:lang w:eastAsia="zh-CN"/>
        </w:rPr>
        <w:t>（一）</w:t>
      </w:r>
      <w:r>
        <w:rPr>
          <w:rFonts w:hint="eastAsia" w:ascii="仿宋_GB2312" w:hAnsi="仿宋" w:eastAsia="仿宋_GB2312"/>
          <w:sz w:val="32"/>
          <w:szCs w:val="32"/>
        </w:rPr>
        <w:t>本年收入</w:t>
      </w:r>
      <w:r>
        <w:rPr>
          <w:rFonts w:hint="eastAsia" w:ascii="仿宋_GB2312" w:hAnsi="仿宋" w:eastAsia="仿宋_GB2312"/>
          <w:sz w:val="32"/>
          <w:szCs w:val="32"/>
          <w:lang w:val="en-US" w:eastAsia="zh-CN"/>
        </w:rPr>
        <w:t>1466.14</w:t>
      </w:r>
      <w:r>
        <w:rPr>
          <w:rFonts w:hint="eastAsia" w:ascii="仿宋_GB2312" w:hAnsi="仿宋" w:eastAsia="仿宋_GB2312"/>
          <w:sz w:val="32"/>
          <w:szCs w:val="32"/>
        </w:rPr>
        <w:t>万元，主要包括：一般公共预算拨款收入</w:t>
      </w:r>
      <w:r>
        <w:rPr>
          <w:rFonts w:hint="eastAsia" w:ascii="仿宋_GB2312" w:hAnsi="仿宋" w:eastAsia="仿宋_GB2312"/>
          <w:sz w:val="32"/>
          <w:szCs w:val="32"/>
          <w:lang w:val="en-US" w:eastAsia="zh-CN"/>
        </w:rPr>
        <w:t>1466.14</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%，比2020年预算增加</w:t>
      </w:r>
      <w:r>
        <w:rPr>
          <w:rFonts w:hint="eastAsia" w:ascii="仿宋_GB2312" w:hAnsi="仿宋" w:eastAsia="仿宋_GB2312"/>
          <w:sz w:val="32"/>
          <w:szCs w:val="32"/>
          <w:lang w:val="en-US" w:eastAsia="zh-CN"/>
        </w:rPr>
        <w:t>88.98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6.46</w:t>
      </w:r>
      <w:r>
        <w:rPr>
          <w:rFonts w:hint="eastAsia" w:ascii="仿宋_GB2312" w:hAnsi="仿宋" w:eastAsia="仿宋_GB2312"/>
          <w:sz w:val="32"/>
          <w:szCs w:val="32"/>
        </w:rPr>
        <w:t>%，</w:t>
      </w:r>
      <w:r>
        <w:rPr>
          <w:rFonts w:hint="eastAsia" w:ascii="仿宋_GB2312" w:hAnsi="仿宋" w:eastAsia="仿宋_GB2312" w:cs="宋体"/>
          <w:kern w:val="0"/>
          <w:sz w:val="32"/>
          <w:szCs w:val="32"/>
          <w:lang w:eastAsia="zh-CN"/>
        </w:rPr>
        <w:t>增长原因主要是：</w:t>
      </w:r>
      <w:r>
        <w:rPr>
          <w:rFonts w:hint="eastAsia" w:ascii="仿宋_GB2312" w:hAnsi="仿宋" w:eastAsia="仿宋_GB2312" w:cs="宋体"/>
          <w:kern w:val="0"/>
          <w:sz w:val="32"/>
          <w:szCs w:val="32"/>
          <w:lang w:val="en-US" w:eastAsia="zh-CN"/>
        </w:rPr>
        <w:t>1.在职</w:t>
      </w:r>
      <w:r>
        <w:rPr>
          <w:rFonts w:hint="eastAsia" w:ascii="仿宋_GB2312" w:hAnsi="仿宋" w:eastAsia="仿宋_GB2312" w:cs="宋体"/>
          <w:kern w:val="0"/>
          <w:sz w:val="32"/>
          <w:szCs w:val="32"/>
          <w:lang w:eastAsia="zh-CN"/>
        </w:rPr>
        <w:t>人员增加，基本工资、津贴补贴、伙食补助费等人员经费增加；</w:t>
      </w:r>
      <w:r>
        <w:rPr>
          <w:rFonts w:hint="eastAsia" w:ascii="仿宋_GB2312" w:hAnsi="仿宋" w:eastAsia="仿宋_GB2312" w:cs="宋体"/>
          <w:kern w:val="0"/>
          <w:sz w:val="32"/>
          <w:szCs w:val="32"/>
          <w:lang w:val="en-US" w:eastAsia="zh-CN"/>
        </w:rPr>
        <w:t>2.疫情防控需要，人代会经费增加</w:t>
      </w:r>
      <w:r>
        <w:rPr>
          <w:rFonts w:hint="eastAsia" w:ascii="仿宋_GB2312" w:hAnsi="仿宋" w:eastAsia="仿宋_GB2312" w:cs="宋体"/>
          <w:kern w:val="0"/>
          <w:sz w:val="32"/>
          <w:szCs w:val="32"/>
          <w:lang w:eastAsia="zh-CN"/>
        </w:rPr>
        <w:t>。</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与</w:t>
      </w:r>
      <w:r>
        <w:rPr>
          <w:rFonts w:hint="eastAsia" w:ascii="仿宋_GB2312" w:hAnsi="仿宋" w:eastAsia="仿宋_GB2312"/>
          <w:sz w:val="32"/>
          <w:szCs w:val="32"/>
          <w:lang w:val="en-US" w:eastAsia="zh-CN"/>
        </w:rPr>
        <w:t>2020年预算持平</w:t>
      </w:r>
      <w:r>
        <w:rPr>
          <w:rFonts w:hint="eastAsia" w:ascii="仿宋_GB2312" w:hAnsi="仿宋" w:eastAsia="仿宋_GB2312"/>
          <w:sz w:val="32"/>
          <w:szCs w:val="32"/>
        </w:rPr>
        <w:t>。</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三、关于2021年支出总表的说明</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eastAsia="zh-CN"/>
        </w:rPr>
        <w:t>安庆市人民代表大会常务委员会办公室</w:t>
      </w:r>
      <w:r>
        <w:rPr>
          <w:rFonts w:hint="eastAsia" w:ascii="仿宋_GB2312" w:hAnsi="仿宋" w:eastAsia="仿宋_GB2312" w:cs="Times New Roman"/>
          <w:sz w:val="32"/>
          <w:szCs w:val="32"/>
        </w:rPr>
        <w:t>2021年支出预算</w:t>
      </w:r>
      <w:r>
        <w:rPr>
          <w:rFonts w:hint="eastAsia" w:ascii="仿宋_GB2312" w:hAnsi="仿宋" w:eastAsia="仿宋_GB2312" w:cs="Times New Roman"/>
          <w:sz w:val="32"/>
          <w:szCs w:val="32"/>
          <w:lang w:val="en-US" w:eastAsia="zh-CN"/>
        </w:rPr>
        <w:t>1466.14</w:t>
      </w:r>
      <w:r>
        <w:rPr>
          <w:rFonts w:hint="eastAsia" w:ascii="仿宋_GB2312" w:hAnsi="仿宋" w:eastAsia="仿宋_GB2312" w:cs="Times New Roman"/>
          <w:sz w:val="32"/>
          <w:szCs w:val="32"/>
        </w:rPr>
        <w:t>万元，比2020年预算增加</w:t>
      </w:r>
      <w:r>
        <w:rPr>
          <w:rFonts w:hint="eastAsia" w:ascii="仿宋_GB2312" w:hAnsi="仿宋" w:eastAsia="仿宋_GB2312" w:cs="Times New Roman"/>
          <w:sz w:val="32"/>
          <w:szCs w:val="32"/>
          <w:lang w:val="en-US" w:eastAsia="zh-CN"/>
        </w:rPr>
        <w:t>88.98</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6.46</w:t>
      </w:r>
      <w:r>
        <w:rPr>
          <w:rFonts w:hint="eastAsia" w:ascii="仿宋_GB2312" w:hAnsi="仿宋" w:eastAsia="仿宋_GB2312" w:cs="Times New Roman"/>
          <w:sz w:val="32"/>
          <w:szCs w:val="32"/>
        </w:rPr>
        <w:t>%，</w:t>
      </w:r>
      <w:r>
        <w:rPr>
          <w:rFonts w:hint="eastAsia" w:ascii="仿宋_GB2312" w:hAnsi="仿宋" w:eastAsia="仿宋_GB2312" w:cs="宋体"/>
          <w:kern w:val="0"/>
          <w:sz w:val="32"/>
          <w:szCs w:val="32"/>
          <w:lang w:eastAsia="zh-CN"/>
        </w:rPr>
        <w:t>增长原因主要是：</w:t>
      </w:r>
      <w:r>
        <w:rPr>
          <w:rFonts w:hint="eastAsia" w:ascii="仿宋_GB2312" w:hAnsi="仿宋" w:eastAsia="仿宋_GB2312" w:cs="宋体"/>
          <w:kern w:val="0"/>
          <w:sz w:val="32"/>
          <w:szCs w:val="32"/>
          <w:lang w:val="en-US" w:eastAsia="zh-CN"/>
        </w:rPr>
        <w:t>1.在职</w:t>
      </w:r>
      <w:r>
        <w:rPr>
          <w:rFonts w:hint="eastAsia" w:ascii="仿宋_GB2312" w:hAnsi="仿宋" w:eastAsia="仿宋_GB2312" w:cs="宋体"/>
          <w:kern w:val="0"/>
          <w:sz w:val="32"/>
          <w:szCs w:val="32"/>
          <w:lang w:eastAsia="zh-CN"/>
        </w:rPr>
        <w:t>人员增加，基本工资、津贴补贴、伙食补助费等人员经费增加；</w:t>
      </w:r>
      <w:r>
        <w:rPr>
          <w:rFonts w:hint="eastAsia" w:ascii="仿宋_GB2312" w:hAnsi="仿宋" w:eastAsia="仿宋_GB2312" w:cs="宋体"/>
          <w:kern w:val="0"/>
          <w:sz w:val="32"/>
          <w:szCs w:val="32"/>
          <w:lang w:val="en-US" w:eastAsia="zh-CN"/>
        </w:rPr>
        <w:t>2.疫情防控需要，人代会经费增加</w:t>
      </w: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1074.25</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73.27</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主要用于保障机构日常运转、完成日常工作任务等；项</w:t>
      </w:r>
      <w:r>
        <w:rPr>
          <w:rFonts w:hint="eastAsia" w:ascii="仿宋_GB2312" w:hAnsi="仿宋" w:eastAsia="仿宋_GB2312" w:cs="Times New Roman"/>
          <w:sz w:val="32"/>
          <w:szCs w:val="32"/>
        </w:rPr>
        <w:t>目支出</w:t>
      </w:r>
      <w:r>
        <w:rPr>
          <w:rFonts w:hint="eastAsia" w:ascii="仿宋_GB2312" w:hAnsi="仿宋" w:eastAsia="仿宋_GB2312" w:cs="Times New Roman"/>
          <w:sz w:val="32"/>
          <w:szCs w:val="32"/>
          <w:lang w:val="en-US" w:eastAsia="zh-CN"/>
        </w:rPr>
        <w:t>391.89</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26.73</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主要用于人代会、领导调研活动、代表活动、预决算审查、十个工作委员会支出等</w:t>
      </w:r>
      <w:r>
        <w:rPr>
          <w:rFonts w:hint="eastAsia" w:ascii="仿宋_GB2312" w:hAnsi="仿宋" w:eastAsia="仿宋_GB2312" w:cs="Times New Roman"/>
          <w:sz w:val="32"/>
          <w:szCs w:val="32"/>
        </w:rPr>
        <w:t>。</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四、关于2021年财政拨款收支总表的说明</w:t>
      </w:r>
    </w:p>
    <w:p>
      <w:pPr>
        <w:pStyle w:val="5"/>
        <w:adjustRightInd w:val="0"/>
        <w:snapToGrid w:val="0"/>
        <w:spacing w:before="0" w:beforeAutospacing="0" w:after="0" w:afterAutospacing="0" w:line="60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安庆市人民代表大会常务委员会办公室</w:t>
      </w:r>
      <w:r>
        <w:rPr>
          <w:rFonts w:hint="eastAsia" w:ascii="仿宋_GB2312" w:hAnsi="仿宋" w:eastAsia="仿宋_GB2312" w:cs="Times New Roman"/>
          <w:kern w:val="2"/>
          <w:sz w:val="32"/>
          <w:szCs w:val="32"/>
        </w:rPr>
        <w:t>2021年财政拨款收支预算</w:t>
      </w:r>
      <w:r>
        <w:rPr>
          <w:rFonts w:hint="eastAsia" w:ascii="仿宋_GB2312" w:hAnsi="仿宋" w:eastAsia="仿宋_GB2312" w:cs="Times New Roman"/>
          <w:kern w:val="2"/>
          <w:sz w:val="32"/>
          <w:szCs w:val="32"/>
          <w:lang w:val="en-US" w:eastAsia="zh-CN"/>
        </w:rPr>
        <w:t>1466.14</w:t>
      </w:r>
      <w:r>
        <w:rPr>
          <w:rFonts w:hint="eastAsia" w:ascii="仿宋_GB2312" w:hAnsi="仿宋" w:eastAsia="仿宋_GB2312" w:cs="Times New Roman"/>
          <w:kern w:val="2"/>
          <w:sz w:val="32"/>
          <w:szCs w:val="32"/>
        </w:rPr>
        <w:t>万元。收入按资金来源分</w:t>
      </w:r>
      <w:r>
        <w:rPr>
          <w:rFonts w:hint="eastAsia" w:ascii="仿宋_GB2312" w:hAnsi="仿宋" w:eastAsia="仿宋_GB2312" w:cs="Times New Roman"/>
          <w:kern w:val="2"/>
          <w:sz w:val="32"/>
          <w:szCs w:val="32"/>
          <w:lang w:eastAsia="zh-CN"/>
        </w:rPr>
        <w:t>全部为</w:t>
      </w:r>
      <w:r>
        <w:rPr>
          <w:rFonts w:hint="eastAsia" w:ascii="仿宋_GB2312" w:hAnsi="仿宋" w:eastAsia="仿宋_GB2312" w:cs="Times New Roman"/>
          <w:kern w:val="2"/>
          <w:sz w:val="32"/>
          <w:szCs w:val="32"/>
        </w:rPr>
        <w:t>一般公共预算拨款；按资金年度分</w:t>
      </w:r>
      <w:r>
        <w:rPr>
          <w:rFonts w:hint="eastAsia" w:ascii="仿宋_GB2312" w:hAnsi="仿宋" w:eastAsia="仿宋_GB2312" w:cs="Times New Roman"/>
          <w:kern w:val="2"/>
          <w:sz w:val="32"/>
          <w:szCs w:val="32"/>
          <w:lang w:eastAsia="zh-CN"/>
        </w:rPr>
        <w:t>全部</w:t>
      </w:r>
      <w:r>
        <w:rPr>
          <w:rFonts w:hint="eastAsia" w:ascii="仿宋_GB2312" w:hAnsi="仿宋" w:eastAsia="仿宋_GB2312" w:cs="Times New Roman"/>
          <w:kern w:val="2"/>
          <w:sz w:val="32"/>
          <w:szCs w:val="32"/>
        </w:rPr>
        <w:t>为本年财政拨款收入。支出按功能分类分为：一般公共服务支出</w:t>
      </w:r>
      <w:r>
        <w:rPr>
          <w:rFonts w:hint="eastAsia" w:ascii="仿宋_GB2312" w:hAnsi="仿宋" w:eastAsia="仿宋_GB2312" w:cs="Times New Roman"/>
          <w:kern w:val="2"/>
          <w:sz w:val="32"/>
          <w:szCs w:val="32"/>
          <w:lang w:val="en-US" w:eastAsia="zh-CN"/>
        </w:rPr>
        <w:t>1218.52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83.11</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167.61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11.43</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17.12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1.17</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62.89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4.29</w:t>
      </w:r>
      <w:r>
        <w:rPr>
          <w:rFonts w:hint="eastAsia" w:ascii="仿宋_GB2312" w:hAnsi="仿宋" w:eastAsia="仿宋_GB2312" w:cs="Times New Roman"/>
          <w:kern w:val="2"/>
          <w:sz w:val="32"/>
          <w:szCs w:val="32"/>
        </w:rPr>
        <w:t>%。</w:t>
      </w:r>
    </w:p>
    <w:p>
      <w:pPr>
        <w:pStyle w:val="5"/>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五、关于2021年一般公共预算支出表的说明</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安庆市人民代表大会常务委员会办公室</w:t>
      </w:r>
      <w:r>
        <w:rPr>
          <w:rFonts w:hint="eastAsia" w:ascii="仿宋_GB2312" w:hAnsi="仿宋" w:eastAsia="仿宋_GB2312" w:cs="Times New Roman"/>
          <w:kern w:val="2"/>
          <w:sz w:val="32"/>
          <w:szCs w:val="32"/>
        </w:rPr>
        <w:t>2021年一般公</w:t>
      </w:r>
      <w:r>
        <w:rPr>
          <w:rFonts w:hint="eastAsia" w:ascii="仿宋_GB2312" w:hAnsi="仿宋" w:eastAsia="仿宋_GB2312" w:cs="Times New Roman"/>
          <w:kern w:val="2"/>
          <w:sz w:val="32"/>
          <w:szCs w:val="32"/>
          <w:lang w:val="en-US" w:eastAsia="zh-CN"/>
        </w:rPr>
        <w:t>共预算支出1466.14万元，比2020年预算增加88.98万元，增长6.46%，主要原因：一是在职人员增加，基本工资、津贴补贴、伙食补助费等人员经费增加；二是疫情防控需要，人代会经费增加。</w:t>
      </w:r>
    </w:p>
    <w:p>
      <w:pPr>
        <w:pStyle w:val="5"/>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5"/>
        <w:adjustRightInd w:val="0"/>
        <w:snapToGrid w:val="0"/>
        <w:spacing w:before="0" w:beforeAutospacing="0" w:after="0" w:afterAutospacing="0" w:line="60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1218.52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83.11</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167.61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11.43</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17.12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1.17</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62.89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4.29</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1.</w:t>
      </w:r>
      <w:r>
        <w:rPr>
          <w:rFonts w:hint="eastAsia" w:ascii="仿宋_GB2312" w:hAnsi="仿宋"/>
          <w:b/>
          <w:szCs w:val="32"/>
        </w:rPr>
        <w:t xml:space="preserve"> </w:t>
      </w:r>
      <w:r>
        <w:rPr>
          <w:rFonts w:hint="eastAsia" w:ascii="仿宋_GB2312" w:hAnsi="仿宋" w:eastAsia="仿宋_GB2312"/>
          <w:b/>
          <w:sz w:val="32"/>
          <w:szCs w:val="32"/>
        </w:rPr>
        <w:t>一般公共服务支出（类）</w:t>
      </w:r>
      <w:r>
        <w:rPr>
          <w:rFonts w:hint="eastAsia" w:ascii="仿宋_GB2312" w:hAnsi="仿宋" w:eastAsia="仿宋_GB2312"/>
          <w:b/>
          <w:sz w:val="32"/>
          <w:szCs w:val="32"/>
          <w:lang w:eastAsia="zh-CN"/>
        </w:rPr>
        <w:t>人大</w:t>
      </w:r>
      <w:r>
        <w:rPr>
          <w:rFonts w:hint="eastAsia" w:ascii="仿宋_GB2312" w:hAnsi="仿宋" w:eastAsia="仿宋_GB2312"/>
          <w:b/>
          <w:sz w:val="32"/>
          <w:szCs w:val="32"/>
        </w:rPr>
        <w:t>事务（款）行政运行（项）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826.63</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65.21</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8.56</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在职人员增加，基本工资、津贴补贴等人员支出增加</w:t>
      </w:r>
      <w:r>
        <w:rPr>
          <w:rFonts w:hint="eastAsia" w:ascii="仿宋_GB2312" w:hAnsi="仿宋" w:eastAsia="仿宋_GB2312"/>
          <w:sz w:val="32"/>
          <w:szCs w:val="32"/>
        </w:rPr>
        <w:t>。</w:t>
      </w:r>
    </w:p>
    <w:p>
      <w:pPr>
        <w:adjustRightInd w:val="0"/>
        <w:snapToGrid w:val="0"/>
        <w:spacing w:line="600" w:lineRule="exact"/>
        <w:ind w:firstLine="643" w:firstLineChars="200"/>
        <w:rPr>
          <w:rFonts w:hint="default" w:ascii="仿宋_GB2312" w:hAnsi="仿宋" w:eastAsia="仿宋_GB2312"/>
          <w:sz w:val="32"/>
          <w:szCs w:val="32"/>
          <w:lang w:val="en-US"/>
        </w:rPr>
      </w:pPr>
      <w:r>
        <w:rPr>
          <w:rFonts w:hint="eastAsia" w:ascii="仿宋_GB2312" w:hAnsi="仿宋" w:eastAsia="仿宋_GB2312"/>
          <w:b/>
          <w:sz w:val="32"/>
          <w:szCs w:val="32"/>
        </w:rPr>
        <w:t>2.一般公共服务支出（类）</w:t>
      </w:r>
      <w:r>
        <w:rPr>
          <w:rFonts w:hint="eastAsia" w:ascii="仿宋_GB2312" w:hAnsi="仿宋" w:eastAsia="仿宋_GB2312"/>
          <w:b/>
          <w:sz w:val="32"/>
          <w:szCs w:val="32"/>
          <w:lang w:val="en-US" w:eastAsia="zh-CN"/>
        </w:rPr>
        <w:t>人大</w:t>
      </w:r>
      <w:r>
        <w:rPr>
          <w:rFonts w:hint="eastAsia" w:ascii="仿宋_GB2312" w:hAnsi="仿宋" w:eastAsia="仿宋_GB2312"/>
          <w:b/>
          <w:sz w:val="32"/>
          <w:szCs w:val="32"/>
        </w:rPr>
        <w:t>事务（款）一般行政管理事务（项）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106.69</w:t>
      </w:r>
      <w:r>
        <w:rPr>
          <w:rFonts w:hint="eastAsia" w:ascii="仿宋_GB2312" w:hAnsi="仿宋" w:eastAsia="仿宋_GB2312"/>
          <w:sz w:val="32"/>
          <w:szCs w:val="32"/>
        </w:rPr>
        <w:t>万元，比2020年预算减少</w:t>
      </w:r>
      <w:r>
        <w:rPr>
          <w:rFonts w:hint="eastAsia" w:ascii="仿宋_GB2312" w:hAnsi="仿宋" w:eastAsia="仿宋_GB2312"/>
          <w:sz w:val="32"/>
          <w:szCs w:val="32"/>
          <w:lang w:val="en-US" w:eastAsia="zh-CN"/>
        </w:rPr>
        <w:t>252.77</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70.32</w:t>
      </w:r>
      <w:r>
        <w:rPr>
          <w:rFonts w:hint="eastAsia" w:ascii="仿宋_GB2312" w:hAnsi="仿宋" w:eastAsia="仿宋_GB2312"/>
          <w:sz w:val="32"/>
          <w:szCs w:val="32"/>
        </w:rPr>
        <w:t>%，下降原因主要</w:t>
      </w:r>
      <w:r>
        <w:rPr>
          <w:rFonts w:hint="eastAsia" w:ascii="仿宋_GB2312" w:hAnsi="仿宋" w:eastAsia="仿宋_GB2312"/>
          <w:sz w:val="32"/>
          <w:szCs w:val="32"/>
          <w:lang w:eastAsia="zh-CN"/>
        </w:rPr>
        <w:t>：一</w:t>
      </w:r>
      <w:r>
        <w:rPr>
          <w:rFonts w:hint="eastAsia" w:ascii="仿宋_GB2312" w:hAnsi="仿宋" w:eastAsia="仿宋_GB2312"/>
          <w:sz w:val="32"/>
          <w:szCs w:val="32"/>
        </w:rPr>
        <w:t>是</w:t>
      </w:r>
      <w:r>
        <w:rPr>
          <w:rFonts w:hint="eastAsia" w:ascii="仿宋_GB2312" w:hAnsi="仿宋" w:eastAsia="仿宋_GB2312"/>
          <w:sz w:val="32"/>
          <w:szCs w:val="32"/>
          <w:lang w:val="en-US" w:eastAsia="zh-CN"/>
        </w:rPr>
        <w:t>2020年度将人代会项目预算160万元列入了一般行政管理事务（项）；二是2020年度将代表活动专项85.6万元列入了一般行政管理事务（项）。</w:t>
      </w:r>
    </w:p>
    <w:p>
      <w:pPr>
        <w:adjustRightInd w:val="0"/>
        <w:snapToGrid w:val="0"/>
        <w:spacing w:line="600" w:lineRule="exact"/>
        <w:ind w:firstLine="420" w:firstLineChars="200"/>
        <w:rPr>
          <w:rFonts w:hint="eastAsia" w:ascii="仿宋_GB2312" w:hAnsi="仿宋" w:eastAsia="仿宋_GB2312"/>
          <w:sz w:val="32"/>
          <w:szCs w:val="32"/>
        </w:rPr>
      </w:pPr>
      <w:r>
        <w:rPr>
          <w:rFonts w:hint="eastAsia"/>
          <w:lang w:val="en-US" w:eastAsia="zh-CN"/>
        </w:rPr>
        <w:t xml:space="preserve">    </w:t>
      </w:r>
      <w:r>
        <w:rPr>
          <w:rFonts w:hint="eastAsia" w:ascii="仿宋_GB2312" w:hAnsi="仿宋" w:eastAsia="仿宋_GB2312"/>
          <w:b/>
          <w:sz w:val="32"/>
          <w:szCs w:val="32"/>
          <w:lang w:val="en-US" w:eastAsia="zh-CN"/>
        </w:rPr>
        <w:t>3</w:t>
      </w:r>
      <w:r>
        <w:rPr>
          <w:rFonts w:hint="eastAsia" w:ascii="仿宋_GB2312" w:hAnsi="仿宋" w:eastAsia="仿宋_GB2312"/>
          <w:b/>
          <w:sz w:val="32"/>
          <w:szCs w:val="32"/>
        </w:rPr>
        <w:t>.一般公共服务支出（类）</w:t>
      </w:r>
      <w:r>
        <w:rPr>
          <w:rFonts w:hint="eastAsia" w:ascii="仿宋_GB2312" w:hAnsi="仿宋" w:eastAsia="仿宋_GB2312"/>
          <w:b/>
          <w:sz w:val="32"/>
          <w:szCs w:val="32"/>
          <w:lang w:val="en-US" w:eastAsia="zh-CN"/>
        </w:rPr>
        <w:t>人大</w:t>
      </w:r>
      <w:r>
        <w:rPr>
          <w:rFonts w:hint="eastAsia" w:ascii="仿宋_GB2312" w:hAnsi="仿宋" w:eastAsia="仿宋_GB2312"/>
          <w:b/>
          <w:sz w:val="32"/>
          <w:szCs w:val="32"/>
        </w:rPr>
        <w:t>事务（款）</w:t>
      </w:r>
      <w:r>
        <w:rPr>
          <w:rFonts w:hint="eastAsia" w:ascii="仿宋_GB2312" w:hAnsi="仿宋" w:eastAsia="仿宋_GB2312"/>
          <w:b/>
          <w:sz w:val="32"/>
          <w:szCs w:val="32"/>
          <w:lang w:eastAsia="zh-CN"/>
        </w:rPr>
        <w:t>人大会议</w:t>
      </w:r>
      <w:r>
        <w:rPr>
          <w:rFonts w:hint="eastAsia" w:ascii="仿宋_GB2312" w:hAnsi="仿宋" w:eastAsia="仿宋_GB2312"/>
          <w:b/>
          <w:sz w:val="32"/>
          <w:szCs w:val="32"/>
        </w:rPr>
        <w:t>（项）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170</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170</w:t>
      </w:r>
      <w:r>
        <w:rPr>
          <w:rFonts w:hint="eastAsia" w:ascii="仿宋_GB2312" w:hAnsi="仿宋" w:eastAsia="仿宋_GB2312"/>
          <w:sz w:val="32"/>
          <w:szCs w:val="32"/>
        </w:rPr>
        <w:t>万元，增长原因主要是</w:t>
      </w:r>
      <w:r>
        <w:rPr>
          <w:rFonts w:hint="eastAsia" w:ascii="仿宋_GB2312" w:hAnsi="仿宋" w:eastAsia="仿宋_GB2312"/>
          <w:sz w:val="32"/>
          <w:szCs w:val="32"/>
          <w:lang w:val="en-US" w:eastAsia="zh-CN"/>
        </w:rPr>
        <w:t>2020年度将人代会项目预算列入了一般行政管理事务（项）</w:t>
      </w:r>
      <w:r>
        <w:rPr>
          <w:rFonts w:hint="eastAsia" w:ascii="仿宋_GB2312" w:hAnsi="仿宋" w:eastAsia="仿宋_GB2312"/>
          <w:sz w:val="32"/>
          <w:szCs w:val="32"/>
        </w:rPr>
        <w:t>。</w:t>
      </w:r>
    </w:p>
    <w:p>
      <w:pPr>
        <w:adjustRightInd w:val="0"/>
        <w:snapToGrid w:val="0"/>
        <w:spacing w:line="600" w:lineRule="exact"/>
        <w:ind w:firstLine="420" w:firstLineChars="200"/>
        <w:rPr>
          <w:rFonts w:hint="eastAsia" w:ascii="仿宋_GB2312" w:hAnsi="仿宋" w:eastAsia="仿宋_GB2312"/>
          <w:sz w:val="32"/>
          <w:szCs w:val="32"/>
        </w:rPr>
      </w:pPr>
      <w:r>
        <w:rPr>
          <w:rFonts w:hint="eastAsia"/>
          <w:lang w:val="en-US" w:eastAsia="zh-CN"/>
        </w:rPr>
        <w:t xml:space="preserve">    </w:t>
      </w:r>
      <w:r>
        <w:rPr>
          <w:rFonts w:hint="eastAsia" w:ascii="仿宋_GB2312" w:hAnsi="仿宋" w:eastAsia="仿宋_GB2312"/>
          <w:b/>
          <w:sz w:val="32"/>
          <w:szCs w:val="32"/>
          <w:lang w:val="en-US" w:eastAsia="zh-CN"/>
        </w:rPr>
        <w:t>4</w:t>
      </w:r>
      <w:r>
        <w:rPr>
          <w:rFonts w:hint="eastAsia" w:ascii="仿宋_GB2312" w:hAnsi="仿宋" w:eastAsia="仿宋_GB2312"/>
          <w:b/>
          <w:sz w:val="32"/>
          <w:szCs w:val="32"/>
        </w:rPr>
        <w:t>.一般公共服务支出（类）</w:t>
      </w:r>
      <w:r>
        <w:rPr>
          <w:rFonts w:hint="eastAsia" w:ascii="仿宋_GB2312" w:hAnsi="仿宋" w:eastAsia="仿宋_GB2312"/>
          <w:b/>
          <w:sz w:val="32"/>
          <w:szCs w:val="32"/>
          <w:lang w:val="en-US" w:eastAsia="zh-CN"/>
        </w:rPr>
        <w:t>人大</w:t>
      </w:r>
      <w:r>
        <w:rPr>
          <w:rFonts w:hint="eastAsia" w:ascii="仿宋_GB2312" w:hAnsi="仿宋" w:eastAsia="仿宋_GB2312"/>
          <w:b/>
          <w:sz w:val="32"/>
          <w:szCs w:val="32"/>
        </w:rPr>
        <w:t>事务（款）</w:t>
      </w:r>
      <w:r>
        <w:rPr>
          <w:rFonts w:hint="eastAsia" w:ascii="仿宋_GB2312" w:hAnsi="仿宋" w:eastAsia="仿宋_GB2312"/>
          <w:b/>
          <w:sz w:val="32"/>
          <w:szCs w:val="32"/>
          <w:lang w:eastAsia="zh-CN"/>
        </w:rPr>
        <w:t>人大立法</w:t>
      </w:r>
      <w:r>
        <w:rPr>
          <w:rFonts w:hint="eastAsia" w:ascii="仿宋_GB2312" w:hAnsi="仿宋" w:eastAsia="仿宋_GB2312"/>
          <w:b/>
          <w:sz w:val="32"/>
          <w:szCs w:val="32"/>
        </w:rPr>
        <w:t>（项）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28</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40</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根据工作需要增加了备案审查费用</w:t>
      </w:r>
      <w:r>
        <w:rPr>
          <w:rFonts w:hint="eastAsia" w:ascii="仿宋_GB2312" w:hAnsi="仿宋" w:eastAsia="仿宋_GB2312"/>
          <w:sz w:val="32"/>
          <w:szCs w:val="32"/>
          <w:lang w:val="en-US" w:eastAsia="zh-CN"/>
        </w:rPr>
        <w:t>8万元。</w:t>
      </w:r>
    </w:p>
    <w:p>
      <w:pPr>
        <w:pStyle w:val="2"/>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lang w:val="en-US" w:eastAsia="zh-CN"/>
        </w:rPr>
        <w:t xml:space="preserve">  </w:t>
      </w:r>
      <w:r>
        <w:rPr>
          <w:rFonts w:hint="eastAsia" w:ascii="仿宋_GB2312" w:hAnsi="仿宋" w:eastAsia="仿宋_GB2312"/>
          <w:b/>
          <w:sz w:val="32"/>
          <w:szCs w:val="32"/>
          <w:lang w:val="en-US" w:eastAsia="zh-CN"/>
        </w:rPr>
        <w:t>5</w:t>
      </w:r>
      <w:r>
        <w:rPr>
          <w:rFonts w:hint="eastAsia" w:ascii="仿宋_GB2312" w:hAnsi="仿宋" w:eastAsia="仿宋_GB2312"/>
          <w:b/>
          <w:sz w:val="32"/>
          <w:szCs w:val="32"/>
        </w:rPr>
        <w:t>.一般公共服务支出（类）</w:t>
      </w:r>
      <w:r>
        <w:rPr>
          <w:rFonts w:hint="eastAsia" w:ascii="仿宋_GB2312" w:hAnsi="仿宋" w:eastAsia="仿宋_GB2312"/>
          <w:b/>
          <w:sz w:val="32"/>
          <w:szCs w:val="32"/>
          <w:lang w:val="en-US" w:eastAsia="zh-CN"/>
        </w:rPr>
        <w:t>人大</w:t>
      </w:r>
      <w:r>
        <w:rPr>
          <w:rFonts w:hint="eastAsia" w:ascii="仿宋_GB2312" w:hAnsi="仿宋" w:eastAsia="仿宋_GB2312"/>
          <w:b/>
          <w:sz w:val="32"/>
          <w:szCs w:val="32"/>
        </w:rPr>
        <w:t>事务（款）</w:t>
      </w:r>
      <w:r>
        <w:rPr>
          <w:rFonts w:hint="eastAsia" w:ascii="仿宋_GB2312" w:hAnsi="仿宋" w:eastAsia="仿宋_GB2312"/>
          <w:b/>
          <w:sz w:val="32"/>
          <w:szCs w:val="32"/>
          <w:lang w:eastAsia="zh-CN"/>
        </w:rPr>
        <w:t>代表工作</w:t>
      </w:r>
      <w:r>
        <w:rPr>
          <w:rFonts w:hint="eastAsia" w:ascii="仿宋_GB2312" w:hAnsi="仿宋" w:eastAsia="仿宋_GB2312"/>
          <w:b/>
          <w:sz w:val="32"/>
          <w:szCs w:val="32"/>
        </w:rPr>
        <w:t>（项）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87.2</w:t>
      </w:r>
      <w:r>
        <w:rPr>
          <w:rFonts w:hint="eastAsia" w:ascii="仿宋_GB2312" w:hAnsi="仿宋" w:eastAsia="仿宋_GB2312"/>
          <w:sz w:val="32"/>
          <w:szCs w:val="32"/>
        </w:rPr>
        <w:t>万元，</w:t>
      </w:r>
      <w:r>
        <w:rPr>
          <w:rFonts w:hint="eastAsia" w:ascii="仿宋_GB2312" w:hAnsi="仿宋" w:eastAsia="仿宋_GB2312"/>
          <w:color w:val="auto"/>
          <w:sz w:val="32"/>
          <w:szCs w:val="32"/>
        </w:rPr>
        <w:t>比2020年预算增加</w:t>
      </w:r>
      <w:r>
        <w:rPr>
          <w:rFonts w:hint="eastAsia" w:ascii="仿宋_GB2312" w:hAnsi="仿宋" w:eastAsia="仿宋_GB2312"/>
          <w:color w:val="auto"/>
          <w:sz w:val="32"/>
          <w:szCs w:val="32"/>
          <w:lang w:val="en-US" w:eastAsia="zh-CN"/>
        </w:rPr>
        <w:t>87.2</w:t>
      </w:r>
      <w:r>
        <w:rPr>
          <w:rFonts w:hint="eastAsia" w:ascii="仿宋_GB2312" w:hAnsi="仿宋" w:eastAsia="仿宋_GB2312"/>
          <w:color w:val="auto"/>
          <w:sz w:val="32"/>
          <w:szCs w:val="32"/>
        </w:rPr>
        <w:t>万元，增长原因主要</w:t>
      </w:r>
      <w:r>
        <w:rPr>
          <w:rFonts w:hint="eastAsia" w:ascii="仿宋_GB2312" w:hAnsi="仿宋" w:eastAsia="仿宋_GB2312"/>
          <w:color w:val="auto"/>
          <w:sz w:val="32"/>
          <w:szCs w:val="32"/>
          <w:lang w:val="en-US" w:eastAsia="zh-CN"/>
        </w:rPr>
        <w:t>是2020年度将代</w:t>
      </w:r>
      <w:r>
        <w:rPr>
          <w:rFonts w:hint="eastAsia" w:ascii="仿宋_GB2312" w:hAnsi="仿宋" w:eastAsia="仿宋_GB2312"/>
          <w:sz w:val="32"/>
          <w:szCs w:val="32"/>
          <w:lang w:val="en-US" w:eastAsia="zh-CN"/>
        </w:rPr>
        <w:t xml:space="preserve">表活动专项85.6万元列入了一般行政管理事务（项）。        </w:t>
      </w:r>
    </w:p>
    <w:p>
      <w:pPr>
        <w:pStyle w:val="2"/>
        <w:ind w:firstLine="643" w:firstLineChars="200"/>
        <w:rPr>
          <w:rFonts w:hint="eastAsia" w:ascii="仿宋_GB2312" w:hAnsi="仿宋" w:eastAsia="仿宋_GB2312"/>
          <w:sz w:val="32"/>
          <w:szCs w:val="32"/>
        </w:rPr>
      </w:pPr>
      <w:r>
        <w:rPr>
          <w:rFonts w:hint="eastAsia" w:ascii="仿宋_GB2312" w:hAnsi="仿宋" w:eastAsia="仿宋_GB2312"/>
          <w:b/>
          <w:color w:val="auto"/>
          <w:sz w:val="32"/>
          <w:szCs w:val="32"/>
          <w:lang w:val="en-US" w:eastAsia="zh-CN"/>
        </w:rPr>
        <w:t>6</w:t>
      </w:r>
      <w:r>
        <w:rPr>
          <w:rFonts w:hint="eastAsia" w:ascii="仿宋_GB2312" w:hAnsi="仿宋" w:eastAsia="仿宋_GB2312"/>
          <w:b/>
          <w:color w:val="auto"/>
          <w:sz w:val="32"/>
          <w:szCs w:val="32"/>
        </w:rPr>
        <w:t>.社会保障和就业支出（类）行政事业单位</w:t>
      </w:r>
      <w:r>
        <w:rPr>
          <w:rFonts w:hint="eastAsia" w:ascii="仿宋_GB2312" w:hAnsi="仿宋" w:eastAsia="仿宋_GB2312"/>
          <w:b/>
          <w:color w:val="auto"/>
          <w:sz w:val="32"/>
          <w:szCs w:val="32"/>
          <w:lang w:eastAsia="zh-CN"/>
        </w:rPr>
        <w:t>养老支出</w:t>
      </w:r>
      <w:r>
        <w:rPr>
          <w:rFonts w:hint="eastAsia" w:ascii="仿宋_GB2312" w:hAnsi="仿宋" w:eastAsia="仿宋_GB2312"/>
          <w:b/>
          <w:color w:val="auto"/>
          <w:sz w:val="32"/>
          <w:szCs w:val="32"/>
        </w:rPr>
        <w:t>（款）行政单位离退休（项）</w:t>
      </w:r>
      <w:r>
        <w:rPr>
          <w:rFonts w:hint="eastAsia" w:ascii="仿宋_GB2312" w:hAnsi="仿宋" w:eastAsia="仿宋_GB2312"/>
          <w:color w:val="auto"/>
          <w:sz w:val="32"/>
          <w:szCs w:val="32"/>
        </w:rPr>
        <w:t>2021年预算</w:t>
      </w:r>
      <w:r>
        <w:rPr>
          <w:rFonts w:hint="eastAsia" w:ascii="仿宋_GB2312" w:hAnsi="仿宋" w:eastAsia="仿宋_GB2312"/>
          <w:color w:val="auto"/>
          <w:sz w:val="32"/>
          <w:szCs w:val="32"/>
          <w:lang w:val="en-US" w:eastAsia="zh-CN"/>
        </w:rPr>
        <w:t>79.22</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与</w:t>
      </w:r>
      <w:r>
        <w:rPr>
          <w:rFonts w:hint="eastAsia" w:ascii="仿宋_GB2312" w:hAnsi="仿宋" w:eastAsia="仿宋_GB2312"/>
          <w:color w:val="auto"/>
          <w:sz w:val="32"/>
          <w:szCs w:val="32"/>
          <w:lang w:val="en-US" w:eastAsia="zh-CN"/>
        </w:rPr>
        <w:t>2020年预算一致，没有增减。</w:t>
      </w:r>
    </w:p>
    <w:p>
      <w:pPr>
        <w:pStyle w:val="2"/>
        <w:ind w:firstLine="643" w:firstLineChars="200"/>
        <w:rPr>
          <w:rFonts w:hint="eastAsia" w:ascii="仿宋_GB2312" w:hAnsi="仿宋" w:eastAsia="仿宋_GB2312"/>
          <w:sz w:val="32"/>
          <w:szCs w:val="32"/>
        </w:rPr>
      </w:pPr>
      <w:r>
        <w:rPr>
          <w:rFonts w:hint="eastAsia" w:ascii="仿宋_GB2312" w:hAnsi="仿宋" w:eastAsia="仿宋_GB2312"/>
          <w:b/>
          <w:color w:val="auto"/>
          <w:sz w:val="32"/>
          <w:szCs w:val="32"/>
          <w:lang w:val="en-US" w:eastAsia="zh-CN"/>
        </w:rPr>
        <w:t>7</w:t>
      </w:r>
      <w:r>
        <w:rPr>
          <w:rFonts w:hint="eastAsia" w:ascii="仿宋_GB2312" w:hAnsi="仿宋" w:eastAsia="仿宋_GB2312"/>
          <w:b/>
          <w:color w:val="auto"/>
          <w:sz w:val="32"/>
          <w:szCs w:val="32"/>
        </w:rPr>
        <w:t>.社会保障和就业支出（类）行政事业单位</w:t>
      </w:r>
      <w:r>
        <w:rPr>
          <w:rFonts w:hint="eastAsia" w:ascii="仿宋_GB2312" w:hAnsi="仿宋" w:eastAsia="仿宋_GB2312"/>
          <w:b/>
          <w:color w:val="auto"/>
          <w:sz w:val="32"/>
          <w:szCs w:val="32"/>
          <w:lang w:eastAsia="zh-CN"/>
        </w:rPr>
        <w:t>养老支出</w:t>
      </w:r>
      <w:r>
        <w:rPr>
          <w:rFonts w:hint="eastAsia" w:ascii="仿宋_GB2312" w:hAnsi="仿宋" w:eastAsia="仿宋_GB2312"/>
          <w:b/>
          <w:color w:val="auto"/>
          <w:sz w:val="32"/>
          <w:szCs w:val="32"/>
        </w:rPr>
        <w:t>（款）</w:t>
      </w:r>
      <w:r>
        <w:rPr>
          <w:rFonts w:hint="eastAsia" w:ascii="仿宋_GB2312" w:hAnsi="仿宋" w:eastAsia="仿宋_GB2312"/>
          <w:b/>
          <w:color w:val="auto"/>
          <w:sz w:val="32"/>
          <w:szCs w:val="32"/>
          <w:lang w:eastAsia="zh-CN"/>
        </w:rPr>
        <w:t>机关事业单位基本养老保险缴费支出</w:t>
      </w:r>
      <w:r>
        <w:rPr>
          <w:rFonts w:hint="eastAsia" w:ascii="仿宋_GB2312" w:hAnsi="仿宋" w:eastAsia="仿宋_GB2312"/>
          <w:b/>
          <w:color w:val="auto"/>
          <w:sz w:val="32"/>
          <w:szCs w:val="32"/>
        </w:rPr>
        <w:t>（项）</w:t>
      </w:r>
      <w:r>
        <w:rPr>
          <w:rFonts w:hint="eastAsia" w:ascii="仿宋_GB2312" w:hAnsi="仿宋" w:eastAsia="仿宋_GB2312"/>
          <w:color w:val="auto"/>
          <w:sz w:val="32"/>
          <w:szCs w:val="32"/>
        </w:rPr>
        <w:t>2021年预算</w:t>
      </w:r>
      <w:r>
        <w:rPr>
          <w:rFonts w:hint="eastAsia" w:ascii="仿宋_GB2312" w:hAnsi="仿宋" w:eastAsia="仿宋_GB2312"/>
          <w:color w:val="auto"/>
          <w:sz w:val="32"/>
          <w:szCs w:val="32"/>
          <w:lang w:val="en-US" w:eastAsia="zh-CN"/>
        </w:rPr>
        <w:t>88.39</w:t>
      </w:r>
      <w:r>
        <w:rPr>
          <w:rFonts w:hint="eastAsia" w:ascii="仿宋_GB2312" w:hAnsi="仿宋" w:eastAsia="仿宋_GB2312"/>
          <w:color w:val="auto"/>
          <w:sz w:val="32"/>
          <w:szCs w:val="32"/>
        </w:rPr>
        <w:t>万元，比2020年预算增加</w:t>
      </w:r>
      <w:r>
        <w:rPr>
          <w:rFonts w:hint="eastAsia" w:ascii="仿宋_GB2312" w:hAnsi="仿宋" w:eastAsia="仿宋_GB2312"/>
          <w:color w:val="auto"/>
          <w:sz w:val="32"/>
          <w:szCs w:val="32"/>
          <w:lang w:val="en-US" w:eastAsia="zh-CN"/>
        </w:rPr>
        <w:t>6.12</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7.44</w:t>
      </w:r>
      <w:r>
        <w:rPr>
          <w:rFonts w:hint="eastAsia" w:ascii="仿宋_GB2312" w:hAnsi="仿宋" w:eastAsia="仿宋_GB2312"/>
          <w:sz w:val="32"/>
          <w:szCs w:val="32"/>
        </w:rPr>
        <w:t>%，增长原因主要</w:t>
      </w:r>
      <w:r>
        <w:rPr>
          <w:rFonts w:hint="eastAsia" w:ascii="仿宋_GB2312" w:hAnsi="仿宋" w:eastAsia="仿宋_GB2312"/>
          <w:sz w:val="32"/>
          <w:szCs w:val="32"/>
          <w:lang w:eastAsia="zh-CN"/>
        </w:rPr>
        <w:t>是本单位在职人数增加，工资总数增加，养老保险缴费基数增加</w:t>
      </w:r>
      <w:r>
        <w:rPr>
          <w:rFonts w:hint="eastAsia" w:ascii="仿宋_GB2312" w:hAnsi="仿宋" w:eastAsia="仿宋_GB2312"/>
          <w:sz w:val="32"/>
          <w:szCs w:val="32"/>
        </w:rPr>
        <w:t>。</w:t>
      </w:r>
    </w:p>
    <w:p>
      <w:pPr>
        <w:pStyle w:val="2"/>
        <w:ind w:firstLine="643" w:firstLineChars="200"/>
        <w:rPr>
          <w:rFonts w:hint="eastAsia" w:ascii="仿宋_GB2312" w:hAnsi="仿宋" w:eastAsia="仿宋_GB2312"/>
          <w:sz w:val="32"/>
          <w:szCs w:val="32"/>
        </w:rPr>
      </w:pPr>
      <w:r>
        <w:rPr>
          <w:rFonts w:hint="eastAsia" w:ascii="仿宋_GB2312" w:hAnsi="仿宋" w:eastAsia="仿宋_GB2312"/>
          <w:b/>
          <w:color w:val="auto"/>
          <w:sz w:val="32"/>
          <w:szCs w:val="32"/>
          <w:lang w:val="en-US" w:eastAsia="zh-CN"/>
        </w:rPr>
        <w:t>8</w:t>
      </w:r>
      <w:r>
        <w:rPr>
          <w:rFonts w:hint="eastAsia" w:ascii="仿宋_GB2312" w:hAnsi="仿宋" w:eastAsia="仿宋_GB2312"/>
          <w:b/>
          <w:color w:val="auto"/>
          <w:sz w:val="32"/>
          <w:szCs w:val="32"/>
        </w:rPr>
        <w:t>.</w:t>
      </w:r>
      <w:r>
        <w:rPr>
          <w:rFonts w:hint="eastAsia" w:ascii="仿宋_GB2312" w:hAnsi="仿宋" w:eastAsia="仿宋_GB2312"/>
          <w:b/>
          <w:color w:val="auto"/>
          <w:sz w:val="32"/>
          <w:szCs w:val="32"/>
          <w:lang w:eastAsia="zh-CN"/>
        </w:rPr>
        <w:t>卫生健康支出</w:t>
      </w:r>
      <w:r>
        <w:rPr>
          <w:rFonts w:hint="eastAsia" w:ascii="仿宋_GB2312" w:hAnsi="仿宋" w:eastAsia="仿宋_GB2312"/>
          <w:b/>
          <w:color w:val="auto"/>
          <w:sz w:val="32"/>
          <w:szCs w:val="32"/>
        </w:rPr>
        <w:t>（类）</w:t>
      </w:r>
      <w:r>
        <w:rPr>
          <w:rFonts w:hint="eastAsia" w:ascii="仿宋_GB2312" w:hAnsi="仿宋" w:eastAsia="仿宋_GB2312"/>
          <w:b/>
          <w:color w:val="auto"/>
          <w:sz w:val="32"/>
          <w:szCs w:val="32"/>
          <w:lang w:eastAsia="zh-CN"/>
        </w:rPr>
        <w:t>行政事业单位医疗</w:t>
      </w:r>
      <w:r>
        <w:rPr>
          <w:rFonts w:hint="eastAsia" w:ascii="仿宋_GB2312" w:hAnsi="仿宋" w:eastAsia="仿宋_GB2312"/>
          <w:b/>
          <w:color w:val="auto"/>
          <w:sz w:val="32"/>
          <w:szCs w:val="32"/>
        </w:rPr>
        <w:t>（款）</w:t>
      </w:r>
      <w:r>
        <w:rPr>
          <w:rFonts w:hint="eastAsia" w:ascii="仿宋_GB2312" w:hAnsi="仿宋" w:eastAsia="仿宋_GB2312"/>
          <w:b/>
          <w:color w:val="auto"/>
          <w:sz w:val="32"/>
          <w:szCs w:val="32"/>
          <w:lang w:eastAsia="zh-CN"/>
        </w:rPr>
        <w:t>行政单位医疗</w:t>
      </w:r>
      <w:r>
        <w:rPr>
          <w:rFonts w:hint="eastAsia" w:ascii="仿宋_GB2312" w:hAnsi="仿宋" w:eastAsia="仿宋_GB2312"/>
          <w:b/>
          <w:color w:val="auto"/>
          <w:sz w:val="32"/>
          <w:szCs w:val="32"/>
        </w:rPr>
        <w:t>（项）</w:t>
      </w:r>
      <w:r>
        <w:rPr>
          <w:rFonts w:hint="eastAsia" w:ascii="仿宋_GB2312" w:hAnsi="仿宋" w:eastAsia="仿宋_GB2312"/>
          <w:color w:val="auto"/>
          <w:sz w:val="32"/>
          <w:szCs w:val="32"/>
        </w:rPr>
        <w:t>2021年预算</w:t>
      </w:r>
      <w:r>
        <w:rPr>
          <w:rFonts w:hint="eastAsia" w:ascii="仿宋_GB2312" w:hAnsi="仿宋" w:eastAsia="仿宋_GB2312"/>
          <w:color w:val="auto"/>
          <w:sz w:val="32"/>
          <w:szCs w:val="32"/>
          <w:lang w:val="en-US" w:eastAsia="zh-CN"/>
        </w:rPr>
        <w:t>17.12</w:t>
      </w:r>
      <w:r>
        <w:rPr>
          <w:rFonts w:hint="eastAsia" w:ascii="仿宋_GB2312" w:hAnsi="仿宋" w:eastAsia="仿宋_GB2312"/>
          <w:color w:val="auto"/>
          <w:sz w:val="32"/>
          <w:szCs w:val="32"/>
        </w:rPr>
        <w:t>万元，比2020年预算</w:t>
      </w:r>
      <w:r>
        <w:rPr>
          <w:rFonts w:hint="eastAsia" w:ascii="仿宋_GB2312" w:hAnsi="仿宋" w:eastAsia="仿宋_GB2312"/>
          <w:color w:val="auto"/>
          <w:sz w:val="32"/>
          <w:szCs w:val="32"/>
          <w:lang w:eastAsia="zh-CN"/>
        </w:rPr>
        <w:t>增加</w:t>
      </w:r>
      <w:r>
        <w:rPr>
          <w:rFonts w:hint="eastAsia" w:ascii="仿宋_GB2312" w:hAnsi="仿宋" w:eastAsia="仿宋_GB2312"/>
          <w:sz w:val="32"/>
          <w:szCs w:val="32"/>
          <w:lang w:val="en-US" w:eastAsia="zh-CN"/>
        </w:rPr>
        <w:t>0.9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5.55</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本单位在职人数增加，工资总数增加，医疗保险缴费基数增加</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lang w:val="en-US" w:eastAsia="zh-CN"/>
        </w:rPr>
        <w:t>9</w:t>
      </w:r>
      <w:r>
        <w:rPr>
          <w:rFonts w:hint="eastAsia" w:ascii="仿宋_GB2312" w:hAnsi="仿宋" w:eastAsia="仿宋_GB2312"/>
          <w:b/>
          <w:sz w:val="32"/>
          <w:szCs w:val="32"/>
        </w:rPr>
        <w:t>.住房保障支出（类）住房改革支出（款）住房公积金（项）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62.89</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4.32</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7.38</w:t>
      </w:r>
      <w:r>
        <w:rPr>
          <w:rFonts w:hint="eastAsia" w:ascii="仿宋_GB2312" w:hAnsi="仿宋" w:eastAsia="仿宋_GB2312"/>
          <w:sz w:val="32"/>
          <w:szCs w:val="32"/>
        </w:rPr>
        <w:t>%，增长原因主要</w:t>
      </w:r>
      <w:r>
        <w:rPr>
          <w:rFonts w:hint="eastAsia" w:ascii="仿宋_GB2312" w:hAnsi="仿宋" w:eastAsia="仿宋_GB2312"/>
          <w:sz w:val="32"/>
          <w:szCs w:val="32"/>
          <w:lang w:eastAsia="zh-CN"/>
        </w:rPr>
        <w:t>是本单位在职人数增加，工资总数增加，公积金基数增加</w:t>
      </w:r>
      <w:r>
        <w:rPr>
          <w:rFonts w:hint="eastAsia" w:ascii="仿宋_GB2312" w:hAnsi="仿宋" w:eastAsia="仿宋_GB2312"/>
          <w:sz w:val="32"/>
          <w:szCs w:val="32"/>
        </w:rPr>
        <w:t>。</w:t>
      </w:r>
    </w:p>
    <w:p>
      <w:pPr>
        <w:pStyle w:val="5"/>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六、关于2021年一般公共预算基本支出表的说明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安庆市人民代表大会常委委员会办公室</w:t>
      </w:r>
      <w:r>
        <w:rPr>
          <w:rFonts w:hint="eastAsia" w:ascii="仿宋_GB2312" w:hAnsi="仿宋" w:eastAsia="仿宋_GB2312"/>
          <w:sz w:val="32"/>
          <w:szCs w:val="32"/>
        </w:rPr>
        <w:t>2021年一般公共预算基本支出</w:t>
      </w:r>
      <w:r>
        <w:rPr>
          <w:rFonts w:hint="eastAsia" w:ascii="仿宋_GB2312" w:hAnsi="仿宋" w:eastAsia="仿宋_GB2312"/>
          <w:sz w:val="32"/>
          <w:szCs w:val="32"/>
          <w:lang w:val="en-US" w:eastAsia="zh-CN"/>
        </w:rPr>
        <w:t>1074.25</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918.32</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155.93</w:t>
      </w:r>
      <w:r>
        <w:rPr>
          <w:rFonts w:hint="eastAsia" w:ascii="仿宋_GB2312" w:hAnsi="仿宋" w:eastAsia="仿宋_GB2312"/>
          <w:sz w:val="32"/>
          <w:szCs w:val="32"/>
        </w:rPr>
        <w:t>万元。</w:t>
      </w:r>
    </w:p>
    <w:p>
      <w:pPr>
        <w:ind w:firstLine="640" w:firstLineChars="200"/>
        <w:rPr>
          <w:rFonts w:hint="eastAsia" w:ascii="仿宋_GB2312" w:hAnsi="仿宋" w:eastAsia="仿宋_GB2312"/>
          <w:sz w:val="32"/>
          <w:szCs w:val="32"/>
          <w:u w:val="none"/>
          <w:lang w:eastAsia="zh-CN"/>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918.32</w:t>
      </w:r>
      <w:r>
        <w:rPr>
          <w:rFonts w:hint="eastAsia" w:ascii="仿宋_GB2312" w:hAnsi="仿宋" w:eastAsia="仿宋_GB2312"/>
          <w:sz w:val="32"/>
          <w:szCs w:val="32"/>
        </w:rPr>
        <w:t>万元，主要包括:</w:t>
      </w:r>
      <w:r>
        <w:rPr>
          <w:rFonts w:hint="eastAsia" w:ascii="仿宋_GB2312" w:hAnsi="仿宋" w:eastAsia="仿宋_GB2312"/>
          <w:sz w:val="32"/>
          <w:szCs w:val="32"/>
          <w:u w:val="none"/>
        </w:rPr>
        <w:t>基本工资、津贴补贴、奖金、机关事业单位基本养老保险费、职工基本医疗保险缴费、公务员医疗补助缴费、其他社会保障缴费、住房公积金、离休费、退休费、医疗费补助</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奖励金</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对其他个人和家庭的补助支</w:t>
      </w:r>
      <w:r>
        <w:rPr>
          <w:rFonts w:hint="eastAsia" w:ascii="仿宋_GB2312" w:hAnsi="仿宋" w:eastAsia="仿宋_GB2312"/>
          <w:sz w:val="32"/>
          <w:szCs w:val="32"/>
          <w:u w:val="none"/>
          <w:lang w:eastAsia="zh-CN"/>
        </w:rPr>
        <w:t>出、</w:t>
      </w:r>
      <w:r>
        <w:rPr>
          <w:rFonts w:hint="eastAsia" w:ascii="仿宋_GB2312" w:hAnsi="仿宋" w:eastAsia="仿宋_GB2312"/>
          <w:color w:val="auto"/>
          <w:sz w:val="32"/>
          <w:szCs w:val="32"/>
          <w:u w:val="none"/>
        </w:rPr>
        <w:t>工会经费、福利费</w:t>
      </w:r>
      <w:r>
        <w:rPr>
          <w:rFonts w:hint="eastAsia" w:ascii="仿宋_GB2312" w:hAnsi="仿宋" w:eastAsia="仿宋_GB2312"/>
          <w:color w:val="auto"/>
          <w:sz w:val="32"/>
          <w:szCs w:val="32"/>
          <w:u w:val="none"/>
          <w:lang w:eastAsia="zh-CN"/>
        </w:rPr>
        <w:t>。</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155.93</w:t>
      </w:r>
      <w:r>
        <w:rPr>
          <w:rFonts w:hint="eastAsia" w:ascii="仿宋_GB2312" w:hAnsi="仿宋" w:eastAsia="仿宋_GB2312"/>
          <w:sz w:val="32"/>
          <w:szCs w:val="32"/>
        </w:rPr>
        <w:t>万元，主要包括：</w:t>
      </w:r>
      <w:r>
        <w:rPr>
          <w:rFonts w:hint="eastAsia" w:ascii="仿宋_GB2312" w:hAnsi="仿宋" w:eastAsia="仿宋_GB2312"/>
          <w:sz w:val="32"/>
          <w:szCs w:val="32"/>
          <w:u w:val="none"/>
        </w:rPr>
        <w:t>办公费、印刷费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水费、电费、邮电费、物业管理费、差旅费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维修（护）费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会议费、培训费、公务接待费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劳务费、其他交通费用、其他商品服务支出</w:t>
      </w:r>
      <w:r>
        <w:rPr>
          <w:rFonts w:hint="eastAsia" w:ascii="仿宋_GB2312" w:hAnsi="仿宋" w:eastAsia="仿宋_GB2312"/>
          <w:sz w:val="32"/>
          <w:szCs w:val="32"/>
          <w:u w:val="none"/>
          <w:lang w:eastAsia="zh-CN"/>
        </w:rPr>
        <w:t>。</w:t>
      </w:r>
    </w:p>
    <w:p>
      <w:pPr>
        <w:pStyle w:val="5"/>
        <w:adjustRightInd w:val="0"/>
        <w:snapToGrid w:val="0"/>
        <w:spacing w:before="0" w:beforeAutospacing="0" w:after="0" w:afterAutospacing="0" w:line="600" w:lineRule="exact"/>
        <w:ind w:firstLine="640" w:firstLineChars="200"/>
        <w:rPr>
          <w:rFonts w:hint="eastAsia" w:ascii="楷体_GB2312" w:hAnsi="仿宋" w:eastAsia="黑体" w:cs="Times New Roman"/>
          <w:color w:val="FF0000"/>
          <w:kern w:val="2"/>
          <w:sz w:val="32"/>
          <w:szCs w:val="32"/>
          <w:lang w:eastAsia="zh-CN"/>
        </w:rPr>
      </w:pPr>
      <w:r>
        <w:rPr>
          <w:rFonts w:hint="eastAsia" w:ascii="黑体" w:hAnsi="仿宋" w:eastAsia="黑体"/>
          <w:sz w:val="32"/>
          <w:szCs w:val="32"/>
        </w:rPr>
        <w:t>七、关于2021年政府性基金预算支出表的说</w:t>
      </w:r>
      <w:r>
        <w:rPr>
          <w:rFonts w:hint="eastAsia" w:ascii="黑体" w:hAnsi="仿宋" w:eastAsia="黑体"/>
          <w:sz w:val="32"/>
          <w:szCs w:val="32"/>
          <w:lang w:eastAsia="zh-CN"/>
        </w:rPr>
        <w:t>明</w:t>
      </w:r>
    </w:p>
    <w:p>
      <w:pPr>
        <w:pStyle w:val="5"/>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安庆市人民代表大会常务委员会办公室</w:t>
      </w:r>
      <w:r>
        <w:rPr>
          <w:rFonts w:hint="eastAsia" w:ascii="仿宋_GB2312" w:hAnsi="仿宋" w:eastAsia="仿宋_GB2312"/>
          <w:sz w:val="32"/>
          <w:szCs w:val="32"/>
        </w:rPr>
        <w:t>2021年没有政府性基金预算拨款收入，也没有使用政府性基金预算拨款安排的支出。</w:t>
      </w:r>
    </w:p>
    <w:p>
      <w:pPr>
        <w:pStyle w:val="5"/>
        <w:adjustRightInd w:val="0"/>
        <w:snapToGrid w:val="0"/>
        <w:spacing w:before="0" w:beforeAutospacing="0" w:after="0" w:afterAutospacing="0" w:line="600" w:lineRule="exact"/>
        <w:ind w:firstLine="640" w:firstLineChars="200"/>
        <w:rPr>
          <w:rFonts w:ascii="楷体_GB2312" w:hAnsi="仿宋" w:eastAsia="楷体_GB2312" w:cs="Times New Roman"/>
          <w:color w:val="FF0000"/>
          <w:kern w:val="2"/>
          <w:sz w:val="32"/>
          <w:szCs w:val="32"/>
        </w:rPr>
      </w:pPr>
      <w:r>
        <w:rPr>
          <w:rFonts w:hint="eastAsia" w:ascii="黑体" w:hAnsi="仿宋" w:eastAsia="黑体"/>
          <w:sz w:val="32"/>
          <w:szCs w:val="32"/>
        </w:rPr>
        <w:t>八、关于2021年国有资本经营预算支出表的说明</w:t>
      </w:r>
    </w:p>
    <w:p>
      <w:pPr>
        <w:pStyle w:val="5"/>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安庆市人民代表大会常务委员会办公室</w:t>
      </w:r>
      <w:r>
        <w:rPr>
          <w:rFonts w:hint="eastAsia" w:ascii="仿宋_GB2312" w:hAnsi="仿宋" w:eastAsia="仿宋_GB2312"/>
          <w:sz w:val="32"/>
          <w:szCs w:val="32"/>
        </w:rPr>
        <w:t>2021年没有国有资本经营预算拨款收入，也没有使用国有资本经营预算拨款安排的支出。</w:t>
      </w:r>
    </w:p>
    <w:p>
      <w:pPr>
        <w:pStyle w:val="5"/>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九、关于2021年项目支出表的说明</w:t>
      </w:r>
    </w:p>
    <w:p>
      <w:pPr>
        <w:pStyle w:val="5"/>
        <w:adjustRightInd w:val="0"/>
        <w:snapToGrid w:val="0"/>
        <w:spacing w:before="0" w:beforeAutospacing="0" w:after="0" w:afterAutospacing="0"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olor w:val="auto"/>
          <w:sz w:val="32"/>
          <w:szCs w:val="32"/>
          <w:lang w:eastAsia="zh-CN"/>
        </w:rPr>
        <w:t>安庆市人民代表大会常务委员会办公室</w:t>
      </w:r>
      <w:r>
        <w:rPr>
          <w:rFonts w:hint="eastAsia" w:ascii="仿宋_GB2312" w:hAnsi="仿宋" w:eastAsia="仿宋_GB2312"/>
          <w:sz w:val="32"/>
          <w:szCs w:val="32"/>
        </w:rPr>
        <w:t>2021年预算共安排项目支出</w:t>
      </w:r>
      <w:r>
        <w:rPr>
          <w:rFonts w:hint="eastAsia" w:ascii="仿宋_GB2312" w:hAnsi="仿宋" w:eastAsia="仿宋_GB2312"/>
          <w:sz w:val="32"/>
          <w:szCs w:val="32"/>
          <w:lang w:val="en-US" w:eastAsia="zh-CN"/>
        </w:rPr>
        <w:t>391.89</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12.43</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3.28</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因疫情防控需要，人代会支出增加</w:t>
      </w:r>
      <w:r>
        <w:rPr>
          <w:rFonts w:hint="eastAsia" w:ascii="仿宋_GB2312" w:hAnsi="仿宋" w:eastAsia="仿宋_GB2312"/>
          <w:sz w:val="32"/>
          <w:szCs w:val="32"/>
        </w:rPr>
        <w:t>。本年财政拨款安排</w:t>
      </w:r>
      <w:r>
        <w:rPr>
          <w:rFonts w:hint="eastAsia" w:ascii="仿宋_GB2312" w:hAnsi="仿宋" w:eastAsia="仿宋_GB2312"/>
          <w:sz w:val="32"/>
          <w:szCs w:val="32"/>
          <w:lang w:val="en-US" w:eastAsia="zh-CN"/>
        </w:rPr>
        <w:t>391.89万元</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，均为</w:t>
      </w:r>
      <w:r>
        <w:rPr>
          <w:rFonts w:hint="eastAsia" w:ascii="仿宋_GB2312" w:hAnsi="仿宋" w:eastAsia="仿宋_GB2312"/>
          <w:sz w:val="32"/>
          <w:szCs w:val="32"/>
        </w:rPr>
        <w:t>一般公共预算拨款安排</w:t>
      </w:r>
      <w:r>
        <w:rPr>
          <w:rFonts w:hint="eastAsia" w:ascii="仿宋_GB2312" w:hAnsi="仿宋" w:eastAsia="仿宋_GB2312"/>
          <w:sz w:val="32"/>
          <w:szCs w:val="32"/>
          <w:lang w:eastAsia="zh-CN"/>
        </w:rPr>
        <w:t>。</w:t>
      </w:r>
    </w:p>
    <w:p>
      <w:pPr>
        <w:pStyle w:val="5"/>
        <w:adjustRightInd w:val="0"/>
        <w:snapToGrid w:val="0"/>
        <w:spacing w:before="0" w:beforeAutospacing="0" w:after="0" w:afterAutospacing="0" w:line="600" w:lineRule="exact"/>
        <w:ind w:firstLine="640" w:firstLineChars="200"/>
        <w:rPr>
          <w:rFonts w:ascii="楷体_GB2312" w:hAnsi="仿宋" w:eastAsia="楷体_GB2312" w:cs="Times New Roman"/>
          <w:color w:val="FF0000"/>
          <w:kern w:val="2"/>
          <w:sz w:val="32"/>
          <w:szCs w:val="32"/>
        </w:rPr>
      </w:pPr>
      <w:r>
        <w:rPr>
          <w:rFonts w:hint="eastAsia" w:ascii="黑体" w:hAnsi="仿宋" w:eastAsia="黑体"/>
          <w:sz w:val="32"/>
          <w:szCs w:val="32"/>
        </w:rPr>
        <w:t>十、关于2021年政府采购支出表的说明</w:t>
      </w:r>
    </w:p>
    <w:p>
      <w:pPr>
        <w:pStyle w:val="5"/>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color w:val="auto"/>
          <w:sz w:val="32"/>
          <w:szCs w:val="32"/>
          <w:lang w:eastAsia="zh-CN"/>
        </w:rPr>
        <w:t>安庆市人民代表大会常务委员会办公室</w:t>
      </w:r>
      <w:r>
        <w:rPr>
          <w:rFonts w:hint="eastAsia" w:ascii="仿宋_GB2312" w:hAnsi="仿宋" w:eastAsia="仿宋_GB2312"/>
          <w:sz w:val="32"/>
          <w:szCs w:val="32"/>
        </w:rPr>
        <w:t>2021年没有使用一般公共预算拨款、政府性基金预算拨款、国有资本经营预算拨款、财政专户管理资金和单位资金安排的政府采购支出。</w:t>
      </w:r>
    </w:p>
    <w:p>
      <w:pPr>
        <w:pStyle w:val="5"/>
        <w:numPr>
          <w:ilvl w:val="0"/>
          <w:numId w:val="0"/>
        </w:numPr>
        <w:adjustRightInd w:val="0"/>
        <w:snapToGrid w:val="0"/>
        <w:spacing w:before="0" w:beforeAutospacing="0" w:after="0" w:afterAutospacing="0" w:line="60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十一、</w:t>
      </w:r>
      <w:r>
        <w:rPr>
          <w:rFonts w:hint="eastAsia" w:ascii="黑体" w:hAnsi="仿宋" w:eastAsia="黑体"/>
          <w:sz w:val="32"/>
          <w:szCs w:val="32"/>
        </w:rPr>
        <w:t>关于2021年政府购买服务支出表的说明</w:t>
      </w:r>
    </w:p>
    <w:p>
      <w:pPr>
        <w:pStyle w:val="5"/>
        <w:numPr>
          <w:ilvl w:val="0"/>
          <w:numId w:val="0"/>
        </w:numPr>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olor w:val="auto"/>
          <w:sz w:val="32"/>
          <w:szCs w:val="32"/>
          <w:lang w:eastAsia="zh-CN"/>
        </w:rPr>
        <w:t>安庆市人民代表大会常务委员会办公室</w:t>
      </w:r>
      <w:r>
        <w:rPr>
          <w:rFonts w:hint="eastAsia" w:ascii="仿宋_GB2312" w:hAnsi="仿宋" w:eastAsia="仿宋_GB2312"/>
          <w:sz w:val="32"/>
          <w:szCs w:val="32"/>
        </w:rPr>
        <w:t>2021年没有使用一般公共预算拨款、政府性基金预算拨款、国有资本经营预算拨款、财政专户管理资金和单位资金安排的政府购买服务支出。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val="en-US" w:eastAsia="zh-CN"/>
        </w:rPr>
        <w:t>2021年人代会专项</w:t>
      </w:r>
      <w:r>
        <w:rPr>
          <w:rFonts w:hint="eastAsia" w:ascii="仿宋_GB2312" w:hAnsi="楷体" w:eastAsia="仿宋_GB2312"/>
          <w:b/>
          <w:sz w:val="32"/>
          <w:szCs w:val="32"/>
        </w:rPr>
        <w:t>”项目。</w:t>
      </w:r>
    </w:p>
    <w:p>
      <w:pPr>
        <w:adjustRightInd w:val="0"/>
        <w:snapToGrid w:val="0"/>
        <w:spacing w:line="600" w:lineRule="exact"/>
        <w:ind w:firstLine="640" w:firstLineChars="200"/>
        <w:rPr>
          <w:rFonts w:hint="eastAsia" w:ascii="仿宋" w:hAnsi="仿宋" w:eastAsia="仿宋"/>
          <w:bCs/>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w:t>
      </w:r>
      <w:r>
        <w:rPr>
          <w:rFonts w:hint="eastAsia" w:ascii="仿宋" w:hAnsi="仿宋" w:eastAsia="仿宋"/>
          <w:bCs/>
          <w:sz w:val="32"/>
          <w:szCs w:val="32"/>
        </w:rPr>
        <w:t>保障安庆市人民代表大会胜利召开专项经费</w:t>
      </w:r>
      <w:r>
        <w:rPr>
          <w:rFonts w:hint="eastAsia" w:ascii="仿宋" w:hAnsi="仿宋" w:eastAsia="仿宋"/>
          <w:bCs/>
          <w:sz w:val="32"/>
          <w:szCs w:val="32"/>
          <w:lang w:eastAsia="zh-CN"/>
        </w:rPr>
        <w:t>。</w:t>
      </w:r>
    </w:p>
    <w:p>
      <w:pPr>
        <w:adjustRightInd w:val="0"/>
        <w:snapToGrid w:val="0"/>
        <w:spacing w:line="600" w:lineRule="exact"/>
        <w:ind w:firstLine="640" w:firstLineChars="200"/>
        <w:rPr>
          <w:rFonts w:hint="eastAsia" w:ascii="仿宋" w:hAnsi="仿宋" w:eastAsia="仿宋"/>
          <w:bCs/>
          <w:sz w:val="32"/>
          <w:szCs w:val="32"/>
        </w:rPr>
      </w:pPr>
      <w:r>
        <w:rPr>
          <w:rFonts w:hint="eastAsia" w:ascii="仿宋_GB2312" w:hAnsi="楷体" w:eastAsia="仿宋_GB2312"/>
          <w:sz w:val="32"/>
          <w:szCs w:val="32"/>
        </w:rPr>
        <w:t>（2）立项依据。</w:t>
      </w:r>
      <w:r>
        <w:rPr>
          <w:rFonts w:hint="eastAsia" w:ascii="仿宋" w:hAnsi="仿宋" w:eastAsia="仿宋"/>
          <w:bCs/>
          <w:sz w:val="32"/>
          <w:szCs w:val="32"/>
        </w:rPr>
        <w:t>经市委同意召开年度安庆市人民代表大会，相关会议经费由市财政列支。</w:t>
      </w:r>
    </w:p>
    <w:p>
      <w:pPr>
        <w:spacing w:line="600" w:lineRule="exact"/>
        <w:ind w:firstLine="640" w:firstLineChars="200"/>
        <w:rPr>
          <w:rFonts w:hint="eastAsia" w:ascii="仿宋_GB2312" w:hAnsi="楷体" w:eastAsia="仿宋_GB2312"/>
          <w:sz w:val="32"/>
          <w:szCs w:val="32"/>
          <w:u w:val="single"/>
          <w:lang w:eastAsia="zh-CN"/>
        </w:rPr>
      </w:pPr>
      <w:r>
        <w:rPr>
          <w:rFonts w:hint="eastAsia" w:ascii="仿宋_GB2312" w:hAnsi="楷体" w:eastAsia="仿宋_GB2312"/>
          <w:sz w:val="32"/>
          <w:szCs w:val="32"/>
        </w:rPr>
        <w:t>（3）实施主体。</w:t>
      </w:r>
      <w:r>
        <w:rPr>
          <w:rFonts w:hint="eastAsia" w:ascii="仿宋_GB2312" w:hAnsi="楷体" w:eastAsia="仿宋_GB2312"/>
          <w:sz w:val="32"/>
          <w:szCs w:val="32"/>
          <w:lang w:eastAsia="zh-CN"/>
        </w:rPr>
        <w:t>安庆市人民代表大会常务委员会办公室。</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（4）起止时间。</w:t>
      </w:r>
      <w:r>
        <w:rPr>
          <w:rFonts w:hint="eastAsia" w:ascii="仿宋_GB2312" w:hAnsi="仿宋" w:eastAsia="仿宋_GB2312"/>
          <w:sz w:val="32"/>
          <w:szCs w:val="32"/>
          <w:lang w:val="en-US" w:eastAsia="zh-CN"/>
        </w:rPr>
        <w:t>2021年1月17日-22日</w:t>
      </w:r>
    </w:p>
    <w:p>
      <w:pPr>
        <w:spacing w:line="600" w:lineRule="exact"/>
        <w:ind w:firstLine="642"/>
        <w:rPr>
          <w:rFonts w:hint="eastAsia" w:ascii="仿宋_GB2312" w:hAnsi="仿宋_GB2312" w:eastAsia="仿宋_GB2312" w:cs="仿宋_GB2312"/>
          <w:bCs/>
          <w:sz w:val="30"/>
          <w:szCs w:val="30"/>
          <w:lang w:eastAsia="zh-CN"/>
        </w:rPr>
      </w:pPr>
      <w:r>
        <w:rPr>
          <w:rFonts w:hint="eastAsia" w:ascii="仿宋_GB2312" w:hAnsi="楷体" w:eastAsia="仿宋_GB2312"/>
          <w:sz w:val="32"/>
          <w:szCs w:val="32"/>
        </w:rPr>
        <w:t>（5）项目内容。</w:t>
      </w:r>
      <w:r>
        <w:rPr>
          <w:rFonts w:hint="eastAsia" w:ascii="仿宋_GB2312" w:hAnsi="楷体" w:eastAsia="仿宋_GB2312"/>
          <w:sz w:val="32"/>
          <w:szCs w:val="32"/>
          <w:lang w:eastAsia="zh-CN"/>
        </w:rPr>
        <w:t>保障会议期间食宿费、会场租赁费、印刷费、车辆保障费用等。</w:t>
      </w:r>
    </w:p>
    <w:p>
      <w:pPr>
        <w:adjustRightInd w:val="0"/>
        <w:snapToGrid w:val="0"/>
        <w:spacing w:line="600" w:lineRule="exact"/>
        <w:ind w:firstLine="640" w:firstLineChars="200"/>
        <w:rPr>
          <w:rFonts w:hint="eastAsia" w:ascii="仿宋_GB2312" w:hAnsi="仿宋" w:eastAsia="仿宋"/>
          <w:sz w:val="32"/>
          <w:szCs w:val="32"/>
          <w:lang w:val="en-US" w:eastAsia="zh-CN"/>
        </w:rPr>
      </w:pPr>
      <w:r>
        <w:rPr>
          <w:rFonts w:hint="eastAsia" w:ascii="仿宋_GB2312" w:hAnsi="楷体" w:eastAsia="仿宋_GB2312"/>
          <w:sz w:val="32"/>
          <w:szCs w:val="32"/>
        </w:rPr>
        <w:t>（6）年度预算安排。</w:t>
      </w:r>
      <w:r>
        <w:rPr>
          <w:rFonts w:hint="eastAsia" w:ascii="仿宋" w:hAnsi="仿宋" w:eastAsia="仿宋"/>
          <w:bCs/>
          <w:sz w:val="32"/>
          <w:szCs w:val="32"/>
        </w:rPr>
        <w:t>年初预算安排1</w:t>
      </w:r>
      <w:r>
        <w:rPr>
          <w:rFonts w:hint="eastAsia" w:ascii="仿宋" w:hAnsi="仿宋" w:eastAsia="仿宋"/>
          <w:bCs/>
          <w:sz w:val="32"/>
          <w:szCs w:val="32"/>
          <w:lang w:val="en-US" w:eastAsia="zh-CN"/>
        </w:rPr>
        <w:t>70</w:t>
      </w:r>
      <w:r>
        <w:rPr>
          <w:rFonts w:hint="eastAsia" w:ascii="仿宋" w:hAnsi="仿宋" w:eastAsia="仿宋"/>
          <w:bCs/>
          <w:sz w:val="32"/>
          <w:szCs w:val="32"/>
        </w:rPr>
        <w:t>万元会议经费</w:t>
      </w:r>
      <w:r>
        <w:rPr>
          <w:rFonts w:hint="eastAsia" w:ascii="仿宋" w:hAnsi="仿宋" w:eastAsia="仿宋"/>
          <w:bCs/>
          <w:sz w:val="32"/>
          <w:szCs w:val="32"/>
          <w:lang w:eastAsia="zh-CN"/>
        </w:rPr>
        <w:t>。</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p>
      <w:pPr>
        <w:pStyle w:val="2"/>
      </w:pPr>
      <w:r>
        <w:drawing>
          <wp:inline distT="0" distB="0" distL="114300" distR="114300">
            <wp:extent cx="5271135" cy="9103995"/>
            <wp:effectExtent l="0" t="0" r="5715" b="190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6"/>
                    <a:stretch>
                      <a:fillRect/>
                    </a:stretch>
                  </pic:blipFill>
                  <pic:spPr>
                    <a:xfrm>
                      <a:off x="0" y="0"/>
                      <a:ext cx="5271135" cy="9103995"/>
                    </a:xfrm>
                    <a:prstGeom prst="rect">
                      <a:avLst/>
                    </a:prstGeom>
                    <a:noFill/>
                    <a:ln>
                      <a:noFill/>
                    </a:ln>
                  </pic:spPr>
                </pic:pic>
              </a:graphicData>
            </a:graphic>
          </wp:inline>
        </w:drawing>
      </w:r>
    </w:p>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2.“</w:t>
      </w:r>
      <w:r>
        <w:rPr>
          <w:rFonts w:hint="eastAsia" w:ascii="仿宋_GB2312" w:hAnsi="楷体" w:eastAsia="仿宋_GB2312"/>
          <w:b/>
          <w:sz w:val="32"/>
          <w:szCs w:val="32"/>
          <w:lang w:eastAsia="zh-CN"/>
        </w:rPr>
        <w:t>代表活动专项</w:t>
      </w:r>
      <w:r>
        <w:rPr>
          <w:rFonts w:hint="eastAsia" w:ascii="仿宋_GB2312" w:hAnsi="楷体" w:eastAsia="仿宋_GB2312"/>
          <w:b/>
          <w:sz w:val="32"/>
          <w:szCs w:val="32"/>
        </w:rPr>
        <w:t>”项目。</w:t>
      </w:r>
    </w:p>
    <w:p>
      <w:pPr>
        <w:adjustRightInd w:val="0"/>
        <w:snapToGrid w:val="0"/>
        <w:spacing w:line="60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。代表活动专项用于保障本年度代表</w:t>
      </w:r>
      <w:r>
        <w:rPr>
          <w:rFonts w:hint="eastAsia" w:ascii="仿宋_GB2312" w:hAnsi="楷体" w:eastAsia="仿宋_GB2312"/>
          <w:sz w:val="32"/>
          <w:szCs w:val="32"/>
          <w:lang w:val="en-US" w:eastAsia="zh-CN"/>
        </w:rPr>
        <w:t>视察、调研、培训等各项支出。</w:t>
      </w:r>
    </w:p>
    <w:p>
      <w:pPr>
        <w:spacing w:line="600" w:lineRule="exact"/>
        <w:ind w:firstLine="585" w:firstLineChars="183"/>
        <w:rPr>
          <w:rFonts w:hint="eastAsia" w:ascii="仿宋_GB2312" w:hAnsi="楷体" w:eastAsia="仿宋_GB2312"/>
          <w:sz w:val="32"/>
          <w:szCs w:val="32"/>
        </w:rPr>
      </w:pPr>
      <w:r>
        <w:rPr>
          <w:rFonts w:hint="eastAsia" w:ascii="仿宋_GB2312" w:hAnsi="楷体" w:eastAsia="仿宋_GB2312"/>
          <w:sz w:val="32"/>
          <w:szCs w:val="32"/>
        </w:rPr>
        <w:t>（2）立项依据。《关于加强人大工作和建设的意见》</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（3）实施主体。</w:t>
      </w:r>
      <w:r>
        <w:rPr>
          <w:rFonts w:hint="eastAsia" w:ascii="仿宋_GB2312" w:hAnsi="楷体" w:eastAsia="仿宋_GB2312"/>
          <w:sz w:val="32"/>
          <w:szCs w:val="32"/>
          <w:lang w:eastAsia="zh-CN"/>
        </w:rPr>
        <w:t>安庆市人大常委会办公室</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（4）起止时间。</w:t>
      </w:r>
      <w:r>
        <w:rPr>
          <w:rFonts w:hint="eastAsia" w:ascii="仿宋_GB2312" w:hAnsi="仿宋" w:eastAsia="仿宋_GB2312"/>
          <w:sz w:val="32"/>
          <w:szCs w:val="32"/>
          <w:lang w:val="en-US" w:eastAsia="zh-CN"/>
        </w:rPr>
        <w:t>2021年1月-12月</w:t>
      </w:r>
    </w:p>
    <w:p>
      <w:pPr>
        <w:spacing w:line="600" w:lineRule="exact"/>
        <w:ind w:firstLine="642"/>
        <w:rPr>
          <w:rFonts w:ascii="仿宋_GB2312" w:hAnsi="仿宋_GB2312" w:eastAsia="仿宋_GB2312" w:cs="仿宋_GB2312"/>
          <w:bCs/>
          <w:sz w:val="30"/>
          <w:szCs w:val="30"/>
        </w:rPr>
      </w:pPr>
      <w:r>
        <w:rPr>
          <w:rFonts w:hint="eastAsia" w:ascii="仿宋_GB2312" w:hAnsi="楷体" w:eastAsia="仿宋_GB2312"/>
          <w:sz w:val="32"/>
          <w:szCs w:val="32"/>
        </w:rPr>
        <w:t>（5）项目内容。密切联系代表。增进常委会同代表、代表同群众的“双联系”实效。组织代表开展专题视察和调研，邀请代表列席市人大常委会会议，参与常委会立法、执法检查及询问等工作。保障代表履职。抓好代表培训，组织乡镇人大主席、代表小组组长进行履职培训。建立健全代表小组活动相关机制，推进代表小组活动室标准化建设。加强代表议案建议督办。完善办理代表议案建议考核评分办法，提升代表议案建议办理质量。</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楷体" w:eastAsia="仿宋_GB2312"/>
          <w:sz w:val="32"/>
          <w:szCs w:val="32"/>
        </w:rPr>
        <w:t>（6）年度预算安排。</w:t>
      </w:r>
      <w:r>
        <w:rPr>
          <w:rFonts w:hint="eastAsia" w:ascii="仿宋" w:hAnsi="仿宋" w:eastAsia="仿宋"/>
          <w:bCs/>
          <w:sz w:val="32"/>
          <w:szCs w:val="32"/>
        </w:rPr>
        <w:t>年初预算安排</w:t>
      </w:r>
      <w:r>
        <w:rPr>
          <w:rFonts w:hint="eastAsia" w:ascii="仿宋" w:hAnsi="仿宋" w:eastAsia="仿宋"/>
          <w:bCs/>
          <w:sz w:val="32"/>
          <w:szCs w:val="32"/>
          <w:lang w:val="en-US" w:eastAsia="zh-CN"/>
        </w:rPr>
        <w:t>87.2</w:t>
      </w:r>
      <w:r>
        <w:rPr>
          <w:rFonts w:hint="eastAsia" w:ascii="仿宋" w:hAnsi="仿宋" w:eastAsia="仿宋"/>
          <w:bCs/>
          <w:sz w:val="32"/>
          <w:szCs w:val="32"/>
        </w:rPr>
        <w:t>万元会议经费</w:t>
      </w:r>
      <w:r>
        <w:rPr>
          <w:rFonts w:hint="eastAsia" w:ascii="仿宋" w:hAnsi="仿宋" w:eastAsia="仿宋"/>
          <w:bCs/>
          <w:sz w:val="32"/>
          <w:szCs w:val="32"/>
          <w:lang w:eastAsia="zh-CN"/>
        </w:rPr>
        <w:t>。</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（7）绩效目标。</w:t>
      </w:r>
    </w:p>
    <w:p>
      <w:pPr>
        <w:pStyle w:val="2"/>
        <w:rPr>
          <w:rFonts w:hint="eastAsia" w:ascii="仿宋_GB2312" w:hAnsi="楷体" w:eastAsia="仿宋_GB2312"/>
          <w:sz w:val="32"/>
          <w:szCs w:val="32"/>
        </w:rPr>
      </w:pPr>
    </w:p>
    <w:p>
      <w:pPr>
        <w:pStyle w:val="2"/>
        <w:rPr>
          <w:rFonts w:hint="eastAsia" w:ascii="仿宋_GB2312" w:hAnsi="楷体" w:eastAsia="仿宋_GB2312"/>
          <w:sz w:val="32"/>
          <w:szCs w:val="32"/>
        </w:rPr>
      </w:pPr>
      <w:r>
        <w:drawing>
          <wp:inline distT="0" distB="0" distL="114300" distR="114300">
            <wp:extent cx="5546725" cy="8409305"/>
            <wp:effectExtent l="0" t="0" r="15875" b="1079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7"/>
                    <a:stretch>
                      <a:fillRect/>
                    </a:stretch>
                  </pic:blipFill>
                  <pic:spPr>
                    <a:xfrm>
                      <a:off x="0" y="0"/>
                      <a:ext cx="5546725" cy="8409305"/>
                    </a:xfrm>
                    <a:prstGeom prst="rect">
                      <a:avLst/>
                    </a:prstGeom>
                    <a:noFill/>
                    <a:ln>
                      <a:noFill/>
                    </a:ln>
                  </pic:spPr>
                </pic:pic>
              </a:graphicData>
            </a:graphic>
          </wp:inline>
        </w:drawing>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olor w:val="auto"/>
          <w:sz w:val="32"/>
          <w:szCs w:val="32"/>
          <w:lang w:eastAsia="zh-CN"/>
        </w:rPr>
        <w:t>安庆市人民代表大会常务委员会办公室</w:t>
      </w:r>
      <w:r>
        <w:rPr>
          <w:rFonts w:hint="eastAsia" w:ascii="仿宋_GB2312" w:hAnsi="仿宋" w:eastAsia="仿宋_GB2312"/>
          <w:sz w:val="32"/>
          <w:szCs w:val="32"/>
        </w:rPr>
        <w:t>2021年机关运行经费财政拨款预算</w:t>
      </w:r>
      <w:r>
        <w:rPr>
          <w:rFonts w:hint="eastAsia" w:ascii="仿宋_GB2312" w:hAnsi="仿宋" w:eastAsia="仿宋_GB2312"/>
          <w:sz w:val="32"/>
          <w:szCs w:val="32"/>
          <w:lang w:val="en-US" w:eastAsia="zh-CN"/>
        </w:rPr>
        <w:t>382.56</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63.71</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19.98</w:t>
      </w:r>
      <w:r>
        <w:rPr>
          <w:rFonts w:hint="eastAsia" w:ascii="仿宋_GB2312" w:hAnsi="仿宋" w:eastAsia="仿宋_GB2312"/>
          <w:sz w:val="32"/>
          <w:szCs w:val="32"/>
        </w:rPr>
        <w:t>%，增长主要原因</w:t>
      </w:r>
      <w:r>
        <w:rPr>
          <w:rFonts w:hint="eastAsia" w:ascii="仿宋_GB2312" w:hAnsi="仿宋" w:eastAsia="仿宋_GB2312"/>
          <w:sz w:val="32"/>
          <w:szCs w:val="32"/>
          <w:lang w:eastAsia="zh-CN"/>
        </w:rPr>
        <w:t>：一</w:t>
      </w:r>
      <w:r>
        <w:rPr>
          <w:rFonts w:hint="eastAsia" w:ascii="仿宋_GB2312" w:hAnsi="仿宋" w:eastAsia="仿宋_GB2312"/>
          <w:sz w:val="32"/>
          <w:szCs w:val="32"/>
        </w:rPr>
        <w:t>是</w:t>
      </w:r>
      <w:r>
        <w:rPr>
          <w:rFonts w:hint="eastAsia" w:ascii="仿宋_GB2312" w:hAnsi="仿宋" w:eastAsia="仿宋_GB2312"/>
          <w:sz w:val="32"/>
          <w:szCs w:val="32"/>
          <w:lang w:eastAsia="zh-CN"/>
        </w:rPr>
        <w:t>人均日常公用经费标准提高；二是在职人员增加，办公费、邮电费等支出增加</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olor w:val="auto"/>
          <w:sz w:val="32"/>
          <w:szCs w:val="32"/>
          <w:lang w:eastAsia="zh-CN"/>
        </w:rPr>
        <w:t>安庆市人民代表大会常务委员会办公室</w:t>
      </w:r>
      <w:r>
        <w:rPr>
          <w:rFonts w:hint="eastAsia" w:ascii="仿宋_GB2312" w:hAnsi="楷体" w:eastAsia="仿宋_GB2312"/>
          <w:sz w:val="32"/>
          <w:szCs w:val="32"/>
        </w:rPr>
        <w:t>2021年政府采购预算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r>
        <w:rPr>
          <w:rFonts w:hint="eastAsia" w:ascii="仿宋" w:hAnsi="仿宋" w:eastAsia="仿宋"/>
          <w:bCs/>
          <w:sz w:val="32"/>
          <w:szCs w:val="32"/>
        </w:rPr>
        <w:t>其中：政府采购货物预算0万元，政府采购工程预算0万元，政府采购服务预算0万元。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截至2020年12月31日，</w:t>
      </w:r>
      <w:r>
        <w:rPr>
          <w:rFonts w:hint="eastAsia" w:ascii="仿宋_GB2312" w:hAnsi="仿宋" w:eastAsia="仿宋_GB2312" w:cs="宋体"/>
          <w:kern w:val="0"/>
          <w:sz w:val="32"/>
          <w:szCs w:val="32"/>
          <w:lang w:eastAsia="zh-CN"/>
        </w:rPr>
        <w:t>安庆市</w:t>
      </w:r>
      <w:r>
        <w:rPr>
          <w:rFonts w:hint="eastAsia" w:ascii="仿宋_GB2312" w:hAnsi="仿宋" w:eastAsia="仿宋_GB2312"/>
          <w:color w:val="auto"/>
          <w:sz w:val="32"/>
          <w:szCs w:val="32"/>
          <w:lang w:eastAsia="zh-CN"/>
        </w:rPr>
        <w:t>安庆市人民代表大会常务委员会办公室</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2021年部门预算安排购置公务用车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w:t>
      </w:r>
      <w:r>
        <w:rPr>
          <w:rFonts w:hint="eastAsia" w:ascii="仿宋_GB2312" w:hAnsi="楷体" w:eastAsia="仿宋_GB2312"/>
          <w:sz w:val="32"/>
          <w:szCs w:val="32"/>
          <w:lang w:eastAsia="zh-CN"/>
        </w:rPr>
        <w:t>，购置费</w:t>
      </w:r>
      <w:r>
        <w:rPr>
          <w:rFonts w:hint="eastAsia" w:ascii="仿宋_GB2312" w:hAnsi="楷体" w:eastAsia="仿宋_GB2312"/>
          <w:sz w:val="32"/>
          <w:szCs w:val="32"/>
          <w:lang w:val="en-US" w:eastAsia="zh-CN"/>
        </w:rPr>
        <w:t>0万元</w:t>
      </w:r>
      <w:r>
        <w:rPr>
          <w:rFonts w:hint="eastAsia" w:ascii="仿宋_GB2312" w:hAnsi="楷体" w:eastAsia="仿宋_GB2312"/>
          <w:sz w:val="32"/>
          <w:szCs w:val="32"/>
        </w:rPr>
        <w:t>；安排购置单位价值50万元以上的通用设备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r>
        <w:rPr>
          <w:rFonts w:hint="eastAsia" w:ascii="仿宋_GB2312" w:hAnsi="楷体" w:eastAsia="仿宋_GB2312"/>
          <w:sz w:val="32"/>
          <w:szCs w:val="32"/>
          <w:lang w:eastAsia="zh-CN"/>
        </w:rPr>
        <w:t>，购置费</w:t>
      </w:r>
      <w:r>
        <w:rPr>
          <w:rFonts w:hint="eastAsia" w:ascii="仿宋_GB2312" w:hAnsi="楷体" w:eastAsia="仿宋_GB2312"/>
          <w:sz w:val="32"/>
          <w:szCs w:val="32"/>
          <w:lang w:val="en-US" w:eastAsia="zh-CN"/>
        </w:rPr>
        <w:t>0万元</w:t>
      </w:r>
      <w:r>
        <w:rPr>
          <w:rFonts w:hint="eastAsia" w:ascii="仿宋_GB2312" w:hAnsi="楷体" w:eastAsia="仿宋_GB2312"/>
          <w:sz w:val="32"/>
          <w:szCs w:val="32"/>
        </w:rPr>
        <w:t>；安排购置单位价值100万元以上专用设备</w:t>
      </w:r>
      <w:r>
        <w:rPr>
          <w:rFonts w:hint="eastAsia" w:ascii="仿宋_GB2312" w:hAnsi="楷体" w:eastAsia="仿宋_GB2312"/>
          <w:sz w:val="32"/>
          <w:szCs w:val="32"/>
          <w:lang w:val="en-US" w:eastAsia="zh-CN"/>
        </w:rPr>
        <w:t>0台</w:t>
      </w:r>
      <w:r>
        <w:rPr>
          <w:rFonts w:hint="eastAsia" w:ascii="仿宋_GB2312" w:hAnsi="楷体" w:eastAsia="仿宋_GB2312"/>
          <w:sz w:val="32"/>
          <w:szCs w:val="32"/>
        </w:rPr>
        <w:t>（套）</w:t>
      </w:r>
      <w:r>
        <w:rPr>
          <w:rFonts w:hint="eastAsia" w:ascii="仿宋_GB2312" w:hAnsi="楷体" w:eastAsia="仿宋_GB2312"/>
          <w:sz w:val="32"/>
          <w:szCs w:val="32"/>
          <w:lang w:eastAsia="zh-CN"/>
        </w:rPr>
        <w:t>，购置费</w:t>
      </w:r>
      <w:r>
        <w:rPr>
          <w:rFonts w:hint="eastAsia" w:ascii="仿宋_GB2312" w:hAnsi="楷体" w:eastAsia="仿宋_GB2312"/>
          <w:sz w:val="32"/>
          <w:szCs w:val="32"/>
          <w:lang w:val="en-US" w:eastAsia="zh-CN"/>
        </w:rPr>
        <w:t>0万元</w:t>
      </w:r>
      <w:r>
        <w:rPr>
          <w:rFonts w:hint="eastAsia" w:ascii="仿宋_GB2312" w:hAnsi="楷体"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2021年，</w:t>
      </w:r>
      <w:r>
        <w:rPr>
          <w:rFonts w:hint="eastAsia" w:ascii="仿宋_GB2312" w:hAnsi="仿宋" w:eastAsia="仿宋_GB2312"/>
          <w:color w:val="auto"/>
          <w:sz w:val="32"/>
          <w:szCs w:val="32"/>
          <w:lang w:eastAsia="zh-CN"/>
        </w:rPr>
        <w:t>安庆市人民代表大会常务委员会办公室</w:t>
      </w:r>
      <w:r>
        <w:rPr>
          <w:rFonts w:hint="eastAsia" w:ascii="仿宋_GB2312" w:hAnsi="仿宋" w:eastAsia="仿宋_GB2312"/>
          <w:color w:val="auto"/>
          <w:sz w:val="32"/>
          <w:szCs w:val="32"/>
          <w:lang w:val="en-US" w:eastAsia="zh-CN"/>
        </w:rPr>
        <w:t>9</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391.89</w:t>
      </w:r>
      <w:r>
        <w:rPr>
          <w:rFonts w:hint="eastAsia" w:ascii="仿宋_GB2312" w:hAnsi="仿宋" w:eastAsia="仿宋_GB2312"/>
          <w:sz w:val="32"/>
          <w:szCs w:val="32"/>
        </w:rPr>
        <w:t>万元</w:t>
      </w:r>
      <w:r>
        <w:rPr>
          <w:rFonts w:hint="eastAsia" w:ascii="仿宋_GB2312" w:hAnsi="仿宋" w:eastAsia="仿宋_GB2312"/>
          <w:sz w:val="32"/>
          <w:szCs w:val="32"/>
          <w:lang w:eastAsia="zh-CN"/>
        </w:rPr>
        <w:t>，不涉及</w:t>
      </w:r>
      <w:r>
        <w:rPr>
          <w:rFonts w:hint="eastAsia" w:ascii="仿宋_GB2312" w:hAnsi="仿宋" w:eastAsia="仿宋_GB2312"/>
          <w:sz w:val="32"/>
          <w:szCs w:val="32"/>
        </w:rPr>
        <w:t>政府性基金预算当年财政拨款、国有资本经营预算当年财政拨款、财政专户管理资金</w:t>
      </w:r>
      <w:r>
        <w:rPr>
          <w:rFonts w:hint="eastAsia" w:ascii="仿宋_GB2312" w:hAnsi="仿宋" w:eastAsia="仿宋_GB2312"/>
          <w:sz w:val="32"/>
          <w:szCs w:val="32"/>
          <w:lang w:eastAsia="zh-CN"/>
        </w:rPr>
        <w:t>当年安排</w:t>
      </w:r>
      <w:r>
        <w:rPr>
          <w:rFonts w:hint="eastAsia" w:ascii="仿宋_GB2312" w:hAnsi="仿宋" w:eastAsia="仿宋_GB2312"/>
          <w:sz w:val="32"/>
          <w:szCs w:val="32"/>
        </w:rPr>
        <w:t>和单位资金安排。</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cs="Times New Roman"/>
          <w:kern w:val="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5"/>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lang w:eastAsia="zh-CN"/>
        </w:rPr>
        <w:t>二</w:t>
      </w:r>
      <w:r>
        <w:rPr>
          <w:rFonts w:hint="eastAsia" w:ascii="黑体" w:hAnsi="黑体" w:eastAsia="黑体"/>
          <w:sz w:val="32"/>
          <w:szCs w:val="32"/>
        </w:rPr>
        <w:t>、上年结转：</w:t>
      </w:r>
      <w:r>
        <w:rPr>
          <w:rFonts w:hint="eastAsia" w:ascii="仿宋_GB2312" w:hAnsi="仿宋" w:eastAsia="仿宋_GB2312" w:cs="Times New Roman"/>
          <w:kern w:val="2"/>
          <w:sz w:val="32"/>
          <w:szCs w:val="32"/>
        </w:rPr>
        <w:t>指以前年度安排、结转到本年仍按原用途继续使用的资金。</w:t>
      </w:r>
    </w:p>
    <w:p>
      <w:pPr>
        <w:pStyle w:val="5"/>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lang w:eastAsia="zh-CN"/>
        </w:rPr>
        <w:t>三</w:t>
      </w:r>
      <w:r>
        <w:rPr>
          <w:rFonts w:hint="eastAsia" w:ascii="黑体" w:hAnsi="黑体" w:eastAsia="黑体"/>
          <w:sz w:val="32"/>
          <w:szCs w:val="32"/>
        </w:rPr>
        <w:t>、结转下年：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5"/>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5"/>
        <w:spacing w:before="0" w:beforeAutospacing="0" w:after="0" w:afterAutospacing="0" w:line="600" w:lineRule="exact"/>
        <w:ind w:firstLine="627" w:firstLineChars="196"/>
        <w:jc w:val="both"/>
        <w:rPr>
          <w:rFonts w:hint="eastAsia" w:ascii="仿宋_GB2312" w:hAnsi="黑体"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w:t>
      </w: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docPartObj>
        <w:docPartGallery w:val="autotext"/>
      </w:docPartObj>
    </w:sdtPr>
    <w:sdtContent>
      <w:p>
        <w:pPr>
          <w:pStyle w:val="3"/>
          <w:jc w:val="right"/>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2B69"/>
    <w:rsid w:val="00A01D1A"/>
    <w:rsid w:val="01646B64"/>
    <w:rsid w:val="017309C1"/>
    <w:rsid w:val="01787C30"/>
    <w:rsid w:val="01893538"/>
    <w:rsid w:val="018E3D5E"/>
    <w:rsid w:val="01955578"/>
    <w:rsid w:val="01B73781"/>
    <w:rsid w:val="028B1F40"/>
    <w:rsid w:val="02BF3AD4"/>
    <w:rsid w:val="0329405C"/>
    <w:rsid w:val="039D7733"/>
    <w:rsid w:val="03C75844"/>
    <w:rsid w:val="03CE1C91"/>
    <w:rsid w:val="04197EFE"/>
    <w:rsid w:val="04952DBC"/>
    <w:rsid w:val="04E86B9C"/>
    <w:rsid w:val="05000993"/>
    <w:rsid w:val="057F1506"/>
    <w:rsid w:val="05994EB5"/>
    <w:rsid w:val="05BD2A10"/>
    <w:rsid w:val="062B0027"/>
    <w:rsid w:val="06427111"/>
    <w:rsid w:val="06A94033"/>
    <w:rsid w:val="06B8359D"/>
    <w:rsid w:val="06E26F65"/>
    <w:rsid w:val="076B7B71"/>
    <w:rsid w:val="07E0077A"/>
    <w:rsid w:val="07EF39E9"/>
    <w:rsid w:val="08522BB6"/>
    <w:rsid w:val="08B90E7E"/>
    <w:rsid w:val="092736B2"/>
    <w:rsid w:val="09904B30"/>
    <w:rsid w:val="0A6F5E55"/>
    <w:rsid w:val="0A7A4F22"/>
    <w:rsid w:val="0A971F4C"/>
    <w:rsid w:val="0ABE1E0D"/>
    <w:rsid w:val="0AD36FC6"/>
    <w:rsid w:val="0B041371"/>
    <w:rsid w:val="0B1E314D"/>
    <w:rsid w:val="0BA542CD"/>
    <w:rsid w:val="0BB22B4A"/>
    <w:rsid w:val="0BF03FA3"/>
    <w:rsid w:val="0BF938DC"/>
    <w:rsid w:val="0C2B2E48"/>
    <w:rsid w:val="0C3D2266"/>
    <w:rsid w:val="0CC40AC5"/>
    <w:rsid w:val="0D3F6804"/>
    <w:rsid w:val="0D526659"/>
    <w:rsid w:val="0DB079DA"/>
    <w:rsid w:val="0DCB5524"/>
    <w:rsid w:val="0E10441F"/>
    <w:rsid w:val="0EC941FE"/>
    <w:rsid w:val="0EE40340"/>
    <w:rsid w:val="0F364B82"/>
    <w:rsid w:val="0FD17D5C"/>
    <w:rsid w:val="0FE64F84"/>
    <w:rsid w:val="0FF82295"/>
    <w:rsid w:val="10403730"/>
    <w:rsid w:val="10956E83"/>
    <w:rsid w:val="10CB22BD"/>
    <w:rsid w:val="10E07547"/>
    <w:rsid w:val="112D5859"/>
    <w:rsid w:val="11AD1499"/>
    <w:rsid w:val="129D3EE8"/>
    <w:rsid w:val="12B43CAB"/>
    <w:rsid w:val="12D91F8E"/>
    <w:rsid w:val="12E70341"/>
    <w:rsid w:val="131547F9"/>
    <w:rsid w:val="1355200F"/>
    <w:rsid w:val="13651E1F"/>
    <w:rsid w:val="142571E9"/>
    <w:rsid w:val="14642D82"/>
    <w:rsid w:val="14BF3642"/>
    <w:rsid w:val="14C04BAE"/>
    <w:rsid w:val="14D12991"/>
    <w:rsid w:val="1576538C"/>
    <w:rsid w:val="15B83C12"/>
    <w:rsid w:val="165B7C54"/>
    <w:rsid w:val="1670031E"/>
    <w:rsid w:val="16731205"/>
    <w:rsid w:val="17203020"/>
    <w:rsid w:val="173B7D68"/>
    <w:rsid w:val="17750269"/>
    <w:rsid w:val="17E2754C"/>
    <w:rsid w:val="17EC1601"/>
    <w:rsid w:val="17FA1176"/>
    <w:rsid w:val="18000806"/>
    <w:rsid w:val="182618D9"/>
    <w:rsid w:val="18913AEE"/>
    <w:rsid w:val="18E4496E"/>
    <w:rsid w:val="195813E0"/>
    <w:rsid w:val="1983156D"/>
    <w:rsid w:val="19892549"/>
    <w:rsid w:val="19AC7D19"/>
    <w:rsid w:val="19DD50A6"/>
    <w:rsid w:val="1A0511B9"/>
    <w:rsid w:val="1A42652C"/>
    <w:rsid w:val="1A5D65C4"/>
    <w:rsid w:val="1AF460FC"/>
    <w:rsid w:val="1AF7419C"/>
    <w:rsid w:val="1B131071"/>
    <w:rsid w:val="1B344D58"/>
    <w:rsid w:val="1B441E62"/>
    <w:rsid w:val="1B6837A6"/>
    <w:rsid w:val="1BED37E9"/>
    <w:rsid w:val="1BF54475"/>
    <w:rsid w:val="1C064984"/>
    <w:rsid w:val="1C63084B"/>
    <w:rsid w:val="1CE666DE"/>
    <w:rsid w:val="1DA74E4B"/>
    <w:rsid w:val="1DD15244"/>
    <w:rsid w:val="1E5962A3"/>
    <w:rsid w:val="1E5A3A4F"/>
    <w:rsid w:val="1F4F4B53"/>
    <w:rsid w:val="1F661B28"/>
    <w:rsid w:val="1FB97EDE"/>
    <w:rsid w:val="1FBC621F"/>
    <w:rsid w:val="1FE23F0C"/>
    <w:rsid w:val="20355D97"/>
    <w:rsid w:val="205656C9"/>
    <w:rsid w:val="20781C9A"/>
    <w:rsid w:val="20B81020"/>
    <w:rsid w:val="20C61A89"/>
    <w:rsid w:val="20EF428F"/>
    <w:rsid w:val="213465A6"/>
    <w:rsid w:val="214F7C48"/>
    <w:rsid w:val="21F91FC9"/>
    <w:rsid w:val="220427D0"/>
    <w:rsid w:val="221B23FF"/>
    <w:rsid w:val="22447D0A"/>
    <w:rsid w:val="22493B18"/>
    <w:rsid w:val="22613F98"/>
    <w:rsid w:val="22D73A2A"/>
    <w:rsid w:val="22F84A00"/>
    <w:rsid w:val="22F943C6"/>
    <w:rsid w:val="23891D65"/>
    <w:rsid w:val="239F7F01"/>
    <w:rsid w:val="23C2090C"/>
    <w:rsid w:val="23EC419D"/>
    <w:rsid w:val="24935DC3"/>
    <w:rsid w:val="25457654"/>
    <w:rsid w:val="25826C88"/>
    <w:rsid w:val="25DD07CA"/>
    <w:rsid w:val="26FF4C51"/>
    <w:rsid w:val="27095663"/>
    <w:rsid w:val="27527BD9"/>
    <w:rsid w:val="27975F48"/>
    <w:rsid w:val="27B5447F"/>
    <w:rsid w:val="27C0727D"/>
    <w:rsid w:val="283D732C"/>
    <w:rsid w:val="28651F60"/>
    <w:rsid w:val="28D4298B"/>
    <w:rsid w:val="28D92868"/>
    <w:rsid w:val="28DB5C05"/>
    <w:rsid w:val="29060463"/>
    <w:rsid w:val="295C1557"/>
    <w:rsid w:val="29800D1B"/>
    <w:rsid w:val="29AD695F"/>
    <w:rsid w:val="29D70D17"/>
    <w:rsid w:val="29F67B0E"/>
    <w:rsid w:val="2A1C46EA"/>
    <w:rsid w:val="2AB401ED"/>
    <w:rsid w:val="2B183EB9"/>
    <w:rsid w:val="2B315F66"/>
    <w:rsid w:val="2B3C6B97"/>
    <w:rsid w:val="2B937EA4"/>
    <w:rsid w:val="2BC5432A"/>
    <w:rsid w:val="2BE7712E"/>
    <w:rsid w:val="2BFA0CDF"/>
    <w:rsid w:val="2BFB1633"/>
    <w:rsid w:val="2C140084"/>
    <w:rsid w:val="2C2B0167"/>
    <w:rsid w:val="2C6A139D"/>
    <w:rsid w:val="2C6B3211"/>
    <w:rsid w:val="2C755559"/>
    <w:rsid w:val="2C7C3FEF"/>
    <w:rsid w:val="2D23469C"/>
    <w:rsid w:val="2D39027E"/>
    <w:rsid w:val="2D754AD2"/>
    <w:rsid w:val="2D7A2BE5"/>
    <w:rsid w:val="2D80717B"/>
    <w:rsid w:val="2DF405AF"/>
    <w:rsid w:val="2E301244"/>
    <w:rsid w:val="2E5F0D8E"/>
    <w:rsid w:val="2E9A2201"/>
    <w:rsid w:val="2EF70FAE"/>
    <w:rsid w:val="2F0953D2"/>
    <w:rsid w:val="2FA54DCA"/>
    <w:rsid w:val="2FC7521C"/>
    <w:rsid w:val="300E32F3"/>
    <w:rsid w:val="30332B20"/>
    <w:rsid w:val="305A1371"/>
    <w:rsid w:val="30C01F35"/>
    <w:rsid w:val="30FA04A8"/>
    <w:rsid w:val="317A315A"/>
    <w:rsid w:val="318B3AD6"/>
    <w:rsid w:val="31985922"/>
    <w:rsid w:val="31A25311"/>
    <w:rsid w:val="31AD7297"/>
    <w:rsid w:val="31F43D52"/>
    <w:rsid w:val="327875F3"/>
    <w:rsid w:val="331B7988"/>
    <w:rsid w:val="33F71FCC"/>
    <w:rsid w:val="34141A09"/>
    <w:rsid w:val="345C6028"/>
    <w:rsid w:val="34824BEB"/>
    <w:rsid w:val="34CD2C56"/>
    <w:rsid w:val="352E5B82"/>
    <w:rsid w:val="357F6E57"/>
    <w:rsid w:val="35B30F60"/>
    <w:rsid w:val="361035C0"/>
    <w:rsid w:val="36162397"/>
    <w:rsid w:val="363C4D97"/>
    <w:rsid w:val="367B0BD6"/>
    <w:rsid w:val="36C3212F"/>
    <w:rsid w:val="36EE5D16"/>
    <w:rsid w:val="371F6337"/>
    <w:rsid w:val="37377D73"/>
    <w:rsid w:val="37B76B61"/>
    <w:rsid w:val="37CE50C8"/>
    <w:rsid w:val="38293B8C"/>
    <w:rsid w:val="38367E31"/>
    <w:rsid w:val="383D6D9B"/>
    <w:rsid w:val="386F403B"/>
    <w:rsid w:val="38F56240"/>
    <w:rsid w:val="39435D2C"/>
    <w:rsid w:val="39D96D75"/>
    <w:rsid w:val="3A0260F2"/>
    <w:rsid w:val="3ADC5461"/>
    <w:rsid w:val="3B6320C2"/>
    <w:rsid w:val="3B6D5D04"/>
    <w:rsid w:val="3B8902E7"/>
    <w:rsid w:val="3BCD467C"/>
    <w:rsid w:val="3C4A0BC2"/>
    <w:rsid w:val="3C5919EA"/>
    <w:rsid w:val="3C781167"/>
    <w:rsid w:val="3CE35179"/>
    <w:rsid w:val="3DF94651"/>
    <w:rsid w:val="3E8864D1"/>
    <w:rsid w:val="3ECC2C03"/>
    <w:rsid w:val="3ED47AC2"/>
    <w:rsid w:val="3F237C19"/>
    <w:rsid w:val="3F316D7C"/>
    <w:rsid w:val="3F5B2B4F"/>
    <w:rsid w:val="401F6CDA"/>
    <w:rsid w:val="4031331E"/>
    <w:rsid w:val="40674025"/>
    <w:rsid w:val="411D37A8"/>
    <w:rsid w:val="412024BF"/>
    <w:rsid w:val="41210207"/>
    <w:rsid w:val="41B13151"/>
    <w:rsid w:val="422839F9"/>
    <w:rsid w:val="422E2066"/>
    <w:rsid w:val="422F1425"/>
    <w:rsid w:val="425949AB"/>
    <w:rsid w:val="425B22A9"/>
    <w:rsid w:val="425D0101"/>
    <w:rsid w:val="429B5BB0"/>
    <w:rsid w:val="42B725DE"/>
    <w:rsid w:val="42BB7D65"/>
    <w:rsid w:val="42CA67A9"/>
    <w:rsid w:val="42CE618E"/>
    <w:rsid w:val="436C10E5"/>
    <w:rsid w:val="44714E5F"/>
    <w:rsid w:val="447D7355"/>
    <w:rsid w:val="448207F7"/>
    <w:rsid w:val="44CA39E1"/>
    <w:rsid w:val="44F97F08"/>
    <w:rsid w:val="45365BED"/>
    <w:rsid w:val="4546113C"/>
    <w:rsid w:val="45476540"/>
    <w:rsid w:val="456045EA"/>
    <w:rsid w:val="45C10C58"/>
    <w:rsid w:val="46135F5F"/>
    <w:rsid w:val="46772E5D"/>
    <w:rsid w:val="47056A6B"/>
    <w:rsid w:val="4726494B"/>
    <w:rsid w:val="47C14D08"/>
    <w:rsid w:val="480F5E9A"/>
    <w:rsid w:val="4859284C"/>
    <w:rsid w:val="489720C6"/>
    <w:rsid w:val="492A388B"/>
    <w:rsid w:val="496260BA"/>
    <w:rsid w:val="49ED1FE9"/>
    <w:rsid w:val="49FF66AF"/>
    <w:rsid w:val="4A12099C"/>
    <w:rsid w:val="4A2441C7"/>
    <w:rsid w:val="4A5C6F2B"/>
    <w:rsid w:val="4A7A24E2"/>
    <w:rsid w:val="4A9E29D3"/>
    <w:rsid w:val="4AE146B3"/>
    <w:rsid w:val="4B1A7DFD"/>
    <w:rsid w:val="4B6E6D6B"/>
    <w:rsid w:val="4B890A90"/>
    <w:rsid w:val="4C6E20EE"/>
    <w:rsid w:val="4C9D7DD4"/>
    <w:rsid w:val="4D0C26D7"/>
    <w:rsid w:val="4D5653FD"/>
    <w:rsid w:val="4DC84BC3"/>
    <w:rsid w:val="4E8D6500"/>
    <w:rsid w:val="4F665CCE"/>
    <w:rsid w:val="4FE76997"/>
    <w:rsid w:val="50181140"/>
    <w:rsid w:val="501F336E"/>
    <w:rsid w:val="50876581"/>
    <w:rsid w:val="523802DC"/>
    <w:rsid w:val="52613673"/>
    <w:rsid w:val="52A35A66"/>
    <w:rsid w:val="52D21154"/>
    <w:rsid w:val="530B6A3F"/>
    <w:rsid w:val="53A66EDF"/>
    <w:rsid w:val="53C36570"/>
    <w:rsid w:val="53D5047B"/>
    <w:rsid w:val="55EC13FA"/>
    <w:rsid w:val="560A2BE1"/>
    <w:rsid w:val="56D961B9"/>
    <w:rsid w:val="56DA1E2D"/>
    <w:rsid w:val="56FB1553"/>
    <w:rsid w:val="580A4F88"/>
    <w:rsid w:val="581A32BE"/>
    <w:rsid w:val="58AD7C30"/>
    <w:rsid w:val="58E234A2"/>
    <w:rsid w:val="598E0023"/>
    <w:rsid w:val="59D57985"/>
    <w:rsid w:val="59F63AF1"/>
    <w:rsid w:val="5A8E2D7D"/>
    <w:rsid w:val="5AB50CDE"/>
    <w:rsid w:val="5AE7489F"/>
    <w:rsid w:val="5B340842"/>
    <w:rsid w:val="5B807685"/>
    <w:rsid w:val="5BC32A04"/>
    <w:rsid w:val="5BDA60BA"/>
    <w:rsid w:val="5BE05D27"/>
    <w:rsid w:val="5C6F42F8"/>
    <w:rsid w:val="5C9707CE"/>
    <w:rsid w:val="5D3E7B9C"/>
    <w:rsid w:val="5D897F57"/>
    <w:rsid w:val="5DD35FA2"/>
    <w:rsid w:val="5DFE0BD9"/>
    <w:rsid w:val="5E282712"/>
    <w:rsid w:val="5E440A6D"/>
    <w:rsid w:val="5F2005B6"/>
    <w:rsid w:val="5F526D02"/>
    <w:rsid w:val="5F795C2B"/>
    <w:rsid w:val="5FFF1D58"/>
    <w:rsid w:val="600F3ED9"/>
    <w:rsid w:val="606C02E6"/>
    <w:rsid w:val="60B61669"/>
    <w:rsid w:val="60BD5CCE"/>
    <w:rsid w:val="60EA0F2A"/>
    <w:rsid w:val="612810C7"/>
    <w:rsid w:val="61353BAB"/>
    <w:rsid w:val="624C2828"/>
    <w:rsid w:val="636820E5"/>
    <w:rsid w:val="639D2613"/>
    <w:rsid w:val="63A61415"/>
    <w:rsid w:val="63BF74F3"/>
    <w:rsid w:val="64605B9E"/>
    <w:rsid w:val="646F1FA7"/>
    <w:rsid w:val="64933DBD"/>
    <w:rsid w:val="653F1F5E"/>
    <w:rsid w:val="658B7EA3"/>
    <w:rsid w:val="65B80907"/>
    <w:rsid w:val="65D37A23"/>
    <w:rsid w:val="65D76C8B"/>
    <w:rsid w:val="65D96243"/>
    <w:rsid w:val="663F2183"/>
    <w:rsid w:val="66680A1A"/>
    <w:rsid w:val="66851E51"/>
    <w:rsid w:val="669C1DDB"/>
    <w:rsid w:val="66A00205"/>
    <w:rsid w:val="66DD0ABA"/>
    <w:rsid w:val="671610FC"/>
    <w:rsid w:val="673E7E31"/>
    <w:rsid w:val="675659D6"/>
    <w:rsid w:val="67B70F7B"/>
    <w:rsid w:val="67D47B74"/>
    <w:rsid w:val="680542F1"/>
    <w:rsid w:val="682C3289"/>
    <w:rsid w:val="68382A10"/>
    <w:rsid w:val="699634BD"/>
    <w:rsid w:val="69A217F6"/>
    <w:rsid w:val="6A2F1A63"/>
    <w:rsid w:val="6A4E2D1F"/>
    <w:rsid w:val="6A8B606D"/>
    <w:rsid w:val="6B8E489C"/>
    <w:rsid w:val="6C233BE9"/>
    <w:rsid w:val="6D021CAD"/>
    <w:rsid w:val="6D436F93"/>
    <w:rsid w:val="6D584F02"/>
    <w:rsid w:val="6D802B6B"/>
    <w:rsid w:val="6E141AE0"/>
    <w:rsid w:val="6E2E4969"/>
    <w:rsid w:val="6E922C23"/>
    <w:rsid w:val="6EDA7C58"/>
    <w:rsid w:val="6EDE0491"/>
    <w:rsid w:val="6F441136"/>
    <w:rsid w:val="6FE2709F"/>
    <w:rsid w:val="71181C9D"/>
    <w:rsid w:val="711A3E55"/>
    <w:rsid w:val="713C44F6"/>
    <w:rsid w:val="715C2100"/>
    <w:rsid w:val="71C34E3A"/>
    <w:rsid w:val="72242C0A"/>
    <w:rsid w:val="726A693A"/>
    <w:rsid w:val="72907369"/>
    <w:rsid w:val="73305722"/>
    <w:rsid w:val="73757C3C"/>
    <w:rsid w:val="73AB6F81"/>
    <w:rsid w:val="73DB123D"/>
    <w:rsid w:val="744D102F"/>
    <w:rsid w:val="74543486"/>
    <w:rsid w:val="74681315"/>
    <w:rsid w:val="74756F6C"/>
    <w:rsid w:val="74D1641F"/>
    <w:rsid w:val="74F738EB"/>
    <w:rsid w:val="753E0372"/>
    <w:rsid w:val="7556086E"/>
    <w:rsid w:val="75666297"/>
    <w:rsid w:val="759A656B"/>
    <w:rsid w:val="75A1102E"/>
    <w:rsid w:val="75FB6500"/>
    <w:rsid w:val="76935BC8"/>
    <w:rsid w:val="76A717A4"/>
    <w:rsid w:val="76D6050A"/>
    <w:rsid w:val="77DE26AC"/>
    <w:rsid w:val="783265BA"/>
    <w:rsid w:val="78506B73"/>
    <w:rsid w:val="78665124"/>
    <w:rsid w:val="7874660C"/>
    <w:rsid w:val="78D46599"/>
    <w:rsid w:val="795D434B"/>
    <w:rsid w:val="796A7A8E"/>
    <w:rsid w:val="797633AB"/>
    <w:rsid w:val="79C330B6"/>
    <w:rsid w:val="79D2531D"/>
    <w:rsid w:val="7A141C7F"/>
    <w:rsid w:val="7A73355A"/>
    <w:rsid w:val="7A91117D"/>
    <w:rsid w:val="7AA7200F"/>
    <w:rsid w:val="7AFC0A00"/>
    <w:rsid w:val="7B1D02C1"/>
    <w:rsid w:val="7B921553"/>
    <w:rsid w:val="7C42539E"/>
    <w:rsid w:val="7CD77CA4"/>
    <w:rsid w:val="7D481740"/>
    <w:rsid w:val="7D5A1252"/>
    <w:rsid w:val="7D83108E"/>
    <w:rsid w:val="7DEA27D3"/>
    <w:rsid w:val="7E094E79"/>
    <w:rsid w:val="7E371710"/>
    <w:rsid w:val="7E4F3B94"/>
    <w:rsid w:val="7EAA1D79"/>
    <w:rsid w:val="7F0648F9"/>
    <w:rsid w:val="7F6471A8"/>
    <w:rsid w:val="7FBC136E"/>
    <w:rsid w:val="7FE70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2021-03-15T03:20:00Z</dcterms:created>
  <dc:creator>Administrator</dc:creator>
  <cp:lastModifiedBy>Administrator</cp:lastModifiedBy>
  <dcterms:modified xsi:type="dcterms:W3CDTF">2021-03-31T02:40:55Z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71EB30BAE28849369E9CDFEE2EE250A0</vt:lpwstr>
  </property>
</Properties>
</file>